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4FD2D" w14:textId="29331991" w:rsidR="00336A24" w:rsidRPr="00336A24" w:rsidRDefault="00336A24" w:rsidP="00336A24">
      <w:pPr>
        <w:tabs>
          <w:tab w:val="right" w:pos="9639"/>
        </w:tabs>
        <w:spacing w:after="0" w:line="240" w:lineRule="auto"/>
        <w:rPr>
          <w:rFonts w:ascii="Arial" w:eastAsiaTheme="minorEastAsia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</w: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RAN4</w:t>
      </w: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</w: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11</w:t>
      </w:r>
      <w:r w:rsidR="00E9274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2</w: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336A24">
        <w:rPr>
          <w:rFonts w:ascii="Arial" w:eastAsiaTheme="minorEastAsia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="00306E86" w:rsidRPr="00306E86">
        <w:rPr>
          <w:rFonts w:ascii="Arial" w:eastAsiaTheme="minorEastAsia" w:hAnsi="Arial" w:cs="Times New Roman"/>
          <w:b/>
          <w:i/>
          <w:noProof/>
          <w:kern w:val="0"/>
          <w:sz w:val="24"/>
          <w:szCs w:val="24"/>
          <w:lang w:val="en-GB"/>
          <w14:ligatures w14:val="none"/>
        </w:rPr>
        <w:t>R4-2411327</w:t>
      </w:r>
    </w:p>
    <w:p w14:paraId="62106A19" w14:textId="77777777" w:rsidR="00E9274B" w:rsidRPr="00E34131" w:rsidRDefault="00E9274B" w:rsidP="00E9274B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7299E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Maastricht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7299E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Netherlands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19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th </w:t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Aug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2024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–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2</w:t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3rd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Aug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2024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</w:p>
    <w:p w14:paraId="17F02ACB" w14:textId="77777777" w:rsidR="00030BF8" w:rsidRPr="00B976F4" w:rsidRDefault="00030BF8" w:rsidP="00030BF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3A66C62" w14:textId="71070FC9" w:rsidR="00030BF8" w:rsidRPr="008C39F7" w:rsidRDefault="00030BF8" w:rsidP="00030BF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D341B0">
        <w:rPr>
          <w:rFonts w:ascii="Arial" w:eastAsia="Calibri" w:hAnsi="Arial" w:cs="Arial"/>
          <w:b/>
          <w:bCs/>
          <w:sz w:val="24"/>
        </w:rPr>
        <w:t>Samsung</w:t>
      </w:r>
    </w:p>
    <w:p w14:paraId="5298E61C" w14:textId="3AE76CA0" w:rsidR="00030BF8" w:rsidRPr="00132A53" w:rsidRDefault="00030BF8" w:rsidP="00030BF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0367D4" w:rsidRPr="000367D4">
        <w:rPr>
          <w:rFonts w:ascii="Arial" w:eastAsia="Calibri" w:hAnsi="Arial" w:cs="Arial"/>
          <w:b/>
          <w:bCs/>
          <w:sz w:val="24"/>
        </w:rPr>
        <w:t>Discussion on MPR reduction for FR1 intra-band UL CA</w:t>
      </w:r>
    </w:p>
    <w:p w14:paraId="4EC09969" w14:textId="016F87FF" w:rsidR="00030BF8" w:rsidRPr="00AC1C95" w:rsidRDefault="00030BF8" w:rsidP="00030BF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en-GB"/>
        </w:rPr>
      </w:pPr>
      <w:r w:rsidRPr="00AC1C95">
        <w:rPr>
          <w:rFonts w:ascii="Arial" w:eastAsia="MS Mincho" w:hAnsi="Arial" w:cs="Arial"/>
          <w:b/>
          <w:sz w:val="24"/>
          <w:szCs w:val="20"/>
          <w:lang w:val="en-GB"/>
        </w:rPr>
        <w:t>Agenda item:</w:t>
      </w:r>
      <w:r w:rsidRPr="00AC1C95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E40A98" w:rsidRPr="00E40A98">
        <w:rPr>
          <w:rFonts w:ascii="Arial" w:eastAsia="MS Mincho" w:hAnsi="Arial" w:cs="Arial"/>
          <w:b/>
          <w:sz w:val="24"/>
          <w:szCs w:val="20"/>
          <w:lang w:val="en-GB"/>
        </w:rPr>
        <w:t>8</w:t>
      </w:r>
      <w:r w:rsidR="00336A24" w:rsidRPr="00E40A98">
        <w:rPr>
          <w:rFonts w:ascii="Arial" w:eastAsia="MS Mincho" w:hAnsi="Arial" w:cs="Arial"/>
          <w:b/>
          <w:sz w:val="24"/>
          <w:szCs w:val="20"/>
          <w:lang w:val="en-GB"/>
        </w:rPr>
        <w:t>.1.1.</w:t>
      </w:r>
      <w:r w:rsidR="00E40A98" w:rsidRPr="00E40A98">
        <w:rPr>
          <w:rFonts w:ascii="Arial" w:eastAsia="MS Mincho" w:hAnsi="Arial" w:cs="Arial"/>
          <w:b/>
          <w:sz w:val="24"/>
          <w:szCs w:val="20"/>
          <w:lang w:val="en-GB"/>
        </w:rPr>
        <w:t>2</w:t>
      </w:r>
      <w:r w:rsidR="00336A24" w:rsidRPr="00E40A98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0367D4" w:rsidRPr="00E40A98">
        <w:rPr>
          <w:rFonts w:ascii="Arial" w:eastAsia="MS Mincho" w:hAnsi="Arial" w:cs="Arial"/>
          <w:b/>
          <w:sz w:val="24"/>
          <w:szCs w:val="20"/>
          <w:lang w:val="en-GB"/>
        </w:rPr>
        <w:t>2</w:t>
      </w:r>
    </w:p>
    <w:p w14:paraId="61CB611A" w14:textId="06840D58" w:rsidR="00030BF8" w:rsidRPr="008C39F7" w:rsidRDefault="00030BF8" w:rsidP="00030BF8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52591409" w14:textId="77777777" w:rsidR="00030BF8" w:rsidRPr="008C39F7" w:rsidRDefault="00030BF8" w:rsidP="00030BF8">
      <w:pPr>
        <w:pStyle w:val="RAN4H1"/>
      </w:pPr>
      <w:bookmarkStart w:id="0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0"/>
    </w:p>
    <w:p w14:paraId="2D10DF2C" w14:textId="26710E9B" w:rsidR="00452023" w:rsidRPr="00BE36FC" w:rsidRDefault="005A3AB4" w:rsidP="003550B8">
      <w:pPr>
        <w:rPr>
          <w:rFonts w:ascii="Times New Roman" w:hAnsi="Times New Roman" w:cs="Times New Roman"/>
          <w:sz w:val="20"/>
          <w:szCs w:val="20"/>
        </w:rPr>
      </w:pPr>
      <w:bookmarkStart w:id="1" w:name="_Hlk161910924"/>
      <w:r w:rsidRPr="00BE36FC">
        <w:rPr>
          <w:rFonts w:ascii="Times New Roman" w:hAnsi="Times New Roman" w:cs="Times New Roman"/>
          <w:sz w:val="20"/>
          <w:szCs w:val="20"/>
        </w:rPr>
        <w:t>In RAN</w:t>
      </w:r>
      <w:r w:rsidR="00890F5F" w:rsidRPr="00BE36FC">
        <w:rPr>
          <w:rFonts w:ascii="Times New Roman" w:hAnsi="Times New Roman" w:cs="Times New Roman"/>
          <w:sz w:val="20"/>
          <w:szCs w:val="20"/>
        </w:rPr>
        <w:t>4</w:t>
      </w:r>
      <w:r w:rsidRPr="00BE36FC">
        <w:rPr>
          <w:rFonts w:ascii="Times New Roman" w:hAnsi="Times New Roman" w:cs="Times New Roman"/>
          <w:sz w:val="20"/>
          <w:szCs w:val="20"/>
        </w:rPr>
        <w:t>#1</w:t>
      </w:r>
      <w:r w:rsidR="00890F5F" w:rsidRPr="00BE36FC">
        <w:rPr>
          <w:rFonts w:ascii="Times New Roman" w:hAnsi="Times New Roman" w:cs="Times New Roman"/>
          <w:sz w:val="20"/>
          <w:szCs w:val="20"/>
        </w:rPr>
        <w:t>1</w:t>
      </w:r>
      <w:r w:rsidR="000425AE">
        <w:rPr>
          <w:rFonts w:ascii="Times New Roman" w:hAnsi="Times New Roman" w:cs="Times New Roman"/>
          <w:sz w:val="20"/>
          <w:szCs w:val="20"/>
        </w:rPr>
        <w:t>1</w:t>
      </w:r>
      <w:r w:rsidRPr="00BE36FC">
        <w:rPr>
          <w:rFonts w:ascii="Times New Roman" w:hAnsi="Times New Roman" w:cs="Times New Roman"/>
          <w:sz w:val="20"/>
          <w:szCs w:val="20"/>
        </w:rPr>
        <w:t xml:space="preserve">, a </w:t>
      </w:r>
      <w:r w:rsidR="00890F5F" w:rsidRPr="00BE36FC">
        <w:rPr>
          <w:rFonts w:ascii="Times New Roman" w:hAnsi="Times New Roman" w:cs="Times New Roman"/>
          <w:sz w:val="20"/>
          <w:szCs w:val="20"/>
        </w:rPr>
        <w:t>WF</w:t>
      </w:r>
      <w:r w:rsidRPr="00BE36FC">
        <w:rPr>
          <w:rFonts w:ascii="Times New Roman" w:hAnsi="Times New Roman" w:cs="Times New Roman"/>
          <w:sz w:val="20"/>
          <w:szCs w:val="20"/>
        </w:rPr>
        <w:t xml:space="preserve"> </w:t>
      </w:r>
      <w:r w:rsidR="00D43AA7" w:rsidRPr="00BE36FC">
        <w:rPr>
          <w:rFonts w:ascii="Times New Roman" w:hAnsi="Times New Roman" w:cs="Times New Roman"/>
          <w:sz w:val="20"/>
          <w:szCs w:val="20"/>
        </w:rPr>
        <w:t>[</w:t>
      </w:r>
      <w:r w:rsidR="00647961" w:rsidRPr="00BE36FC">
        <w:rPr>
          <w:rFonts w:ascii="Times New Roman" w:hAnsi="Times New Roman" w:cs="Times New Roman"/>
          <w:sz w:val="20"/>
          <w:szCs w:val="20"/>
        </w:rPr>
        <w:t>1</w:t>
      </w:r>
      <w:r w:rsidR="00D43AA7" w:rsidRPr="00BE36FC">
        <w:rPr>
          <w:rFonts w:ascii="Times New Roman" w:hAnsi="Times New Roman" w:cs="Times New Roman"/>
          <w:sz w:val="20"/>
          <w:szCs w:val="20"/>
        </w:rPr>
        <w:t xml:space="preserve">] </w:t>
      </w:r>
      <w:r w:rsidRPr="00BE36FC">
        <w:rPr>
          <w:rFonts w:ascii="Times New Roman" w:hAnsi="Times New Roman" w:cs="Times New Roman"/>
          <w:sz w:val="20"/>
          <w:szCs w:val="20"/>
        </w:rPr>
        <w:t>is approved which focus on</w:t>
      </w:r>
      <w:r w:rsidR="00D43AA7" w:rsidRPr="00BE36FC">
        <w:t xml:space="preserve"> </w:t>
      </w:r>
      <w:r w:rsidR="00D43AA7" w:rsidRPr="00BE36FC">
        <w:rPr>
          <w:rFonts w:ascii="Times New Roman" w:hAnsi="Times New Roman" w:cs="Times New Roman"/>
          <w:sz w:val="20"/>
          <w:szCs w:val="20"/>
        </w:rPr>
        <w:t>power domain enhancements.</w:t>
      </w:r>
      <w:r w:rsidR="00DC3CD2" w:rsidRPr="00BE36FC">
        <w:t xml:space="preserve"> </w:t>
      </w:r>
      <w:r w:rsidR="00DC3CD2" w:rsidRPr="00BE36FC">
        <w:rPr>
          <w:rFonts w:ascii="Times New Roman" w:hAnsi="Times New Roman" w:cs="Times New Roman"/>
          <w:sz w:val="20"/>
          <w:szCs w:val="20"/>
        </w:rPr>
        <w:t xml:space="preserve">The following </w:t>
      </w:r>
      <w:r w:rsidR="00D43AA7" w:rsidRPr="00BE36FC">
        <w:rPr>
          <w:rFonts w:ascii="Times New Roman" w:hAnsi="Times New Roman" w:cs="Times New Roman"/>
          <w:sz w:val="20"/>
          <w:szCs w:val="20"/>
        </w:rPr>
        <w:t>WF was captured</w:t>
      </w:r>
      <w:r w:rsidR="007272A6" w:rsidRPr="00BE36FC">
        <w:rPr>
          <w:rFonts w:ascii="Times New Roman" w:hAnsi="Times New Roman" w:cs="Times New Roman" w:hint="eastAsia"/>
          <w:sz w:val="20"/>
          <w:szCs w:val="20"/>
          <w:lang w:eastAsia="zh-CN"/>
        </w:rPr>
        <w:t>,</w:t>
      </w:r>
      <w:r w:rsidR="007272A6" w:rsidRPr="00BE36FC">
        <w:rPr>
          <w:rFonts w:ascii="Times New Roman" w:hAnsi="Times New Roman" w:cs="Times New Roman"/>
          <w:sz w:val="20"/>
          <w:szCs w:val="20"/>
          <w:lang w:eastAsia="zh-CN"/>
        </w:rPr>
        <w:t xml:space="preserve"> which </w:t>
      </w:r>
      <w:r w:rsidR="007272A6" w:rsidRPr="00BE36FC">
        <w:rPr>
          <w:rFonts w:ascii="Times New Roman" w:hAnsi="Times New Roman" w:cs="Times New Roman"/>
          <w:sz w:val="20"/>
          <w:szCs w:val="20"/>
        </w:rPr>
        <w:t>focus on</w:t>
      </w:r>
      <w:r w:rsidR="007272A6" w:rsidRPr="00BE36FC">
        <w:rPr>
          <w:rFonts w:ascii="Times New Roman" w:hAnsi="Times New Roman" w:cs="Times New Roman"/>
          <w:sz w:val="20"/>
          <w:szCs w:val="20"/>
          <w:lang w:eastAsia="zh-CN"/>
        </w:rPr>
        <w:t xml:space="preserve"> power domain enhancements for </w:t>
      </w:r>
      <w:r w:rsidR="00BE36FC" w:rsidRPr="00BE36FC">
        <w:rPr>
          <w:rFonts w:ascii="Times New Roman" w:hAnsi="Times New Roman" w:cs="Times New Roman"/>
          <w:sz w:val="20"/>
          <w:szCs w:val="20"/>
          <w:lang w:eastAsia="zh-CN"/>
        </w:rPr>
        <w:t>FR1 intra-band UL CA</w:t>
      </w:r>
      <w:r w:rsidR="00DC3CD2" w:rsidRPr="00BE36FC">
        <w:rPr>
          <w:rFonts w:ascii="Times New Roman" w:hAnsi="Times New Roman" w:cs="Times New Roman"/>
          <w:sz w:val="20"/>
          <w:szCs w:val="20"/>
        </w:rPr>
        <w:t>.</w:t>
      </w:r>
    </w:p>
    <w:p w14:paraId="1E331378" w14:textId="261A31F4" w:rsidR="0082150C" w:rsidRDefault="0082150C" w:rsidP="003550B8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D64E487" w14:textId="77777777" w:rsidR="007576F4" w:rsidRPr="007576F4" w:rsidRDefault="007576F4" w:rsidP="007576F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</w:pPr>
      <w:bookmarkStart w:id="2" w:name="_Hlk148621888"/>
      <w:bookmarkStart w:id="3" w:name="_Hlk149037934"/>
      <w:bookmarkEnd w:id="1"/>
      <w:r w:rsidRPr="007576F4"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  <w:t>2.1. MPR applicability</w:t>
      </w:r>
      <w:r w:rsidRPr="007576F4">
        <w:rPr>
          <w:rFonts w:ascii="Arial" w:eastAsia="Times New Roman" w:hAnsi="Arial" w:cs="Times New Roman"/>
          <w:kern w:val="0"/>
          <w:sz w:val="24"/>
          <w:szCs w:val="16"/>
          <w:lang w:eastAsia="en-GB"/>
          <w14:ligatures w14:val="none"/>
        </w:rPr>
        <w:t xml:space="preserve"> for FR1 intra-band contiguous UL CA </w:t>
      </w:r>
    </w:p>
    <w:p w14:paraId="429FD733" w14:textId="77777777" w:rsidR="007576F4" w:rsidRPr="007576F4" w:rsidRDefault="007576F4" w:rsidP="007576F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7576F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forward:</w:t>
      </w:r>
    </w:p>
    <w:p w14:paraId="090F964C" w14:textId="77777777" w:rsidR="007576F4" w:rsidRPr="007576F4" w:rsidRDefault="007576F4" w:rsidP="007576F4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7576F4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For PC3 and PC2 contiguous UL CA use the corresponding single CC MPR when only 1 CC is activated. </w:t>
      </w:r>
    </w:p>
    <w:p w14:paraId="3605A220" w14:textId="77777777" w:rsidR="007576F4" w:rsidRPr="007576F4" w:rsidRDefault="007576F4" w:rsidP="007576F4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</w:pPr>
      <w:r w:rsidRPr="007576F4"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  <w:t xml:space="preserve">FFS: MPR defined in Table 6.2.2-1 applies for UE power class 3 CA bandwidth classes B and C. </w:t>
      </w:r>
    </w:p>
    <w:p w14:paraId="1129682A" w14:textId="77777777" w:rsidR="007576F4" w:rsidRPr="007576F4" w:rsidRDefault="007576F4" w:rsidP="007576F4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</w:pPr>
      <w:r w:rsidRPr="007576F4"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  <w:t xml:space="preserve">FFS: MPR defined in Table 6.2D.2-1 applies for power class 2 CA bandwidth classes B and C when TxD capability is indicated. </w:t>
      </w:r>
    </w:p>
    <w:p w14:paraId="7C8DD21F" w14:textId="77777777" w:rsidR="007576F4" w:rsidRPr="007576F4" w:rsidRDefault="007576F4" w:rsidP="007576F4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</w:pPr>
      <w:r w:rsidRPr="007576F4"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  <w:t xml:space="preserve">FFS: MPR defined in Table 6.2.2-2 applies for power class 2 CA bandwidth classes B and C when TxD capability is absent. </w:t>
      </w:r>
    </w:p>
    <w:p w14:paraId="67C2D84F" w14:textId="77777777" w:rsidR="007576F4" w:rsidRPr="007576F4" w:rsidRDefault="007576F4" w:rsidP="007576F4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</w:pPr>
      <w:r w:rsidRPr="007576F4">
        <w:rPr>
          <w:rFonts w:ascii="Times New Roman" w:eastAsiaTheme="minorEastAsia" w:hAnsi="Times New Roman" w:cs="Times New Roman" w:hint="eastAsia"/>
          <w:kern w:val="0"/>
          <w:sz w:val="20"/>
          <w:szCs w:val="20"/>
          <w:highlight w:val="yellow"/>
          <w:lang w:val="en-GB" w:eastAsia="zh-CN"/>
          <w14:ligatures w14:val="none"/>
        </w:rPr>
        <w:t>F</w:t>
      </w:r>
      <w:r w:rsidRPr="007576F4"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  <w:t>FS whether spurious emissions/ACLR/SEM are kept for aggregated CBW for CA</w:t>
      </w:r>
    </w:p>
    <w:p w14:paraId="38F14204" w14:textId="77777777" w:rsidR="007576F4" w:rsidRPr="007576F4" w:rsidRDefault="007576F4" w:rsidP="007576F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A7E5BD6" w14:textId="77777777" w:rsidR="007576F4" w:rsidRPr="007576F4" w:rsidRDefault="007576F4" w:rsidP="007576F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</w:pPr>
      <w:r w:rsidRPr="007576F4"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  <w:t xml:space="preserve">2.2. MPR applicability for FR1 intra-band UL non-contiguous CA </w:t>
      </w:r>
    </w:p>
    <w:p w14:paraId="7C95E60C" w14:textId="77777777" w:rsidR="007576F4" w:rsidRPr="007576F4" w:rsidRDefault="007576F4" w:rsidP="007576F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7576F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forward:</w:t>
      </w:r>
    </w:p>
    <w:p w14:paraId="1DA75B3D" w14:textId="77777777" w:rsidR="007576F4" w:rsidRPr="007576F4" w:rsidRDefault="007576F4" w:rsidP="007576F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7576F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E</w:t>
      </w:r>
      <w:r w:rsidRPr="007576F4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nhancements not aligned with the WID will not be considered. </w:t>
      </w:r>
    </w:p>
    <w:p w14:paraId="6E00B0F3" w14:textId="1D287F43" w:rsidR="007576F4" w:rsidRPr="007576F4" w:rsidRDefault="007576F4" w:rsidP="007576F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</w:pPr>
      <w:r w:rsidRPr="007576F4">
        <w:rPr>
          <w:rFonts w:ascii="Times New Roman" w:eastAsiaTheme="minorEastAsia" w:hAnsi="Times New Roman" w:cs="Times New Roman"/>
          <w:kern w:val="0"/>
          <w:sz w:val="20"/>
          <w:szCs w:val="20"/>
          <w:highlight w:val="yellow"/>
          <w:lang w:val="en-GB" w:eastAsia="zh-CN"/>
          <w14:ligatures w14:val="none"/>
        </w:rPr>
        <w:t>Further clarify the scope for NC CA in next meeting based on the WID objectives.</w:t>
      </w:r>
    </w:p>
    <w:p w14:paraId="681A4BFC" w14:textId="56DCD170" w:rsidR="00E85230" w:rsidRDefault="0038131E" w:rsidP="00E85230">
      <w:pPr>
        <w:pStyle w:val="RAN4H1"/>
      </w:pPr>
      <w:r w:rsidRPr="00E85230">
        <w:t>Discussion</w:t>
      </w:r>
    </w:p>
    <w:p w14:paraId="1FF23889" w14:textId="7F56A932" w:rsidR="00E85230" w:rsidRPr="00E85230" w:rsidRDefault="00E85230" w:rsidP="00E85230">
      <w:pPr>
        <w:keepNext/>
        <w:keepLines/>
        <w:widowControl w:val="0"/>
        <w:spacing w:before="260" w:after="0" w:line="416" w:lineRule="auto"/>
        <w:jc w:val="both"/>
        <w:outlineLvl w:val="1"/>
        <w:rPr>
          <w:rFonts w:ascii="Arial" w:hAnsi="Arial" w:cs="Arial"/>
          <w:i/>
          <w:strike/>
          <w:sz w:val="32"/>
          <w:szCs w:val="32"/>
          <w:lang w:eastAsia="zh-CN"/>
          <w14:ligatures w14:val="none"/>
        </w:rPr>
      </w:pPr>
      <w:bookmarkStart w:id="4" w:name="_Hlk166145184"/>
      <w:r>
        <w:rPr>
          <w:rFonts w:ascii="Arial" w:hAnsi="Arial" w:cs="Arial"/>
          <w:sz w:val="32"/>
          <w:szCs w:val="32"/>
          <w:lang w:val="en-GB" w:eastAsia="zh-CN"/>
          <w14:ligatures w14:val="none"/>
        </w:rPr>
        <w:t>2</w:t>
      </w:r>
      <w:r w:rsidRPr="008D480E">
        <w:rPr>
          <w:rFonts w:ascii="Arial" w:hAnsi="Arial" w:cs="Arial"/>
          <w:sz w:val="32"/>
          <w:szCs w:val="32"/>
          <w:lang w:val="en-GB" w:eastAsia="zh-CN"/>
          <w14:ligatures w14:val="none"/>
        </w:rPr>
        <w:t>.</w:t>
      </w:r>
      <w:r>
        <w:rPr>
          <w:rFonts w:ascii="Arial" w:hAnsi="Arial" w:cs="Arial"/>
          <w:sz w:val="32"/>
          <w:szCs w:val="32"/>
          <w:lang w:val="en-GB" w:eastAsia="zh-CN"/>
          <w14:ligatures w14:val="none"/>
        </w:rPr>
        <w:t>1</w:t>
      </w:r>
      <w:r w:rsidRPr="008D480E"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 </w:t>
      </w:r>
      <w:r w:rsidRPr="00403F08">
        <w:rPr>
          <w:rFonts w:ascii="Arial" w:hAnsi="Arial" w:cs="Arial"/>
          <w:sz w:val="32"/>
          <w:szCs w:val="32"/>
          <w:lang w:val="en-GB" w:eastAsia="zh-CN"/>
          <w14:ligatures w14:val="none"/>
        </w:rPr>
        <w:t>MPR reduction for</w:t>
      </w:r>
      <w:r w:rsidRPr="00C11B4D"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 NR </w:t>
      </w:r>
      <w:r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FR1 </w:t>
      </w:r>
      <w:r w:rsidRPr="00C11B4D"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intra-band </w:t>
      </w:r>
      <w:r w:rsidRPr="00E85230"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contiguous </w:t>
      </w:r>
      <w:r w:rsidRPr="00C11B4D">
        <w:rPr>
          <w:rFonts w:ascii="Arial" w:hAnsi="Arial" w:cs="Arial"/>
          <w:sz w:val="32"/>
          <w:szCs w:val="32"/>
          <w:lang w:val="en-GB" w:eastAsia="zh-CN"/>
          <w14:ligatures w14:val="none"/>
        </w:rPr>
        <w:t>UL CA</w:t>
      </w:r>
    </w:p>
    <w:bookmarkEnd w:id="4"/>
    <w:p w14:paraId="3CA0E6C7" w14:textId="61F156EF" w:rsidR="000F7ACA" w:rsidRDefault="006D262F" w:rsidP="000F7AC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0A5252">
        <w:rPr>
          <w:rFonts w:ascii="Times New Roman" w:hAnsi="Times New Roman" w:cs="Times New Roman"/>
          <w:sz w:val="20"/>
          <w:szCs w:val="20"/>
        </w:rPr>
        <w:t xml:space="preserve">As already discussed in our </w:t>
      </w:r>
      <w:r w:rsidRPr="00C508DE">
        <w:rPr>
          <w:rFonts w:ascii="Times New Roman" w:hAnsi="Times New Roman" w:cs="Times New Roman"/>
          <w:sz w:val="20"/>
          <w:szCs w:val="20"/>
        </w:rPr>
        <w:t>paper [2] last</w:t>
      </w:r>
      <w:r w:rsidRPr="000A5252">
        <w:rPr>
          <w:rFonts w:ascii="Times New Roman" w:hAnsi="Times New Roman" w:cs="Times New Roman"/>
          <w:sz w:val="20"/>
          <w:szCs w:val="20"/>
        </w:rPr>
        <w:t xml:space="preserve"> meeting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281612">
        <w:rPr>
          <w:rFonts w:ascii="Times New Roman" w:hAnsi="Times New Roman" w:cs="Times New Roman"/>
          <w:sz w:val="20"/>
          <w:szCs w:val="20"/>
        </w:rPr>
        <w:t>f</w:t>
      </w:r>
      <w:r w:rsidR="00281612" w:rsidRPr="00281612">
        <w:rPr>
          <w:rFonts w:ascii="Times New Roman" w:hAnsi="Times New Roman" w:cs="Times New Roman"/>
          <w:sz w:val="20"/>
          <w:szCs w:val="20"/>
        </w:rPr>
        <w:t>or FR1 intra-band contiguous UL CA (PC2/PC3), the RF requirements/UE behaviors can be changed at least from Rel-19, when the UL CC is deactivated from activated status or activated from deactivated status. Therefore, when only one of the 2 CC is activated, it is reasonable/justifiable to follow the MPR requirements of single CC operation, which is more stringent compared to intra-band contiguous UL</w:t>
      </w:r>
      <w:r w:rsidR="000F7ACA">
        <w:rPr>
          <w:rFonts w:ascii="Times New Roman" w:hAnsi="Times New Roman" w:cs="Times New Roman"/>
          <w:sz w:val="20"/>
          <w:szCs w:val="20"/>
        </w:rPr>
        <w:t xml:space="preserve"> </w:t>
      </w:r>
      <w:r w:rsidR="00281612" w:rsidRPr="00281612">
        <w:rPr>
          <w:rFonts w:ascii="Times New Roman" w:hAnsi="Times New Roman" w:cs="Times New Roman"/>
          <w:sz w:val="20"/>
          <w:szCs w:val="20"/>
        </w:rPr>
        <w:t>CA MPR</w:t>
      </w:r>
      <w:r w:rsidR="00281612" w:rsidRPr="0097032B">
        <w:rPr>
          <w:rFonts w:ascii="Times New Roman" w:hAnsi="Times New Roman" w:cs="Times New Roman"/>
          <w:sz w:val="20"/>
          <w:szCs w:val="20"/>
        </w:rPr>
        <w:t>.</w:t>
      </w:r>
      <w:r w:rsidR="00A73C75" w:rsidRPr="0097032B">
        <w:rPr>
          <w:rFonts w:ascii="Times New Roman" w:hAnsi="Times New Roman" w:cs="Times New Roman"/>
          <w:sz w:val="20"/>
          <w:szCs w:val="20"/>
        </w:rPr>
        <w:t xml:space="preserve"> </w:t>
      </w:r>
      <w:r w:rsidR="00736C67" w:rsidRPr="0097032B">
        <w:rPr>
          <w:rFonts w:ascii="Times New Roman" w:hAnsi="Times New Roman" w:cs="Times New Roman"/>
          <w:sz w:val="20"/>
          <w:szCs w:val="20"/>
        </w:rPr>
        <w:t xml:space="preserve">Furthermore, </w:t>
      </w:r>
      <w:r w:rsidR="00496A9C" w:rsidRPr="0097032B">
        <w:rPr>
          <w:rFonts w:ascii="Times New Roman" w:hAnsi="Times New Roman" w:cs="Times New Roman"/>
          <w:sz w:val="20"/>
          <w:szCs w:val="20"/>
        </w:rPr>
        <w:t>in last meeting, it was agreed that the single CC MPR requirements apply for NR FR2 intra-band contiguous UL CA</w:t>
      </w:r>
      <w:r w:rsidR="00496A9C" w:rsidRPr="0097032B">
        <w:t xml:space="preserve"> </w:t>
      </w:r>
      <w:r w:rsidR="00496A9C" w:rsidRPr="0097032B">
        <w:rPr>
          <w:rFonts w:ascii="Times New Roman" w:hAnsi="Times New Roman" w:cs="Times New Roman"/>
          <w:sz w:val="20"/>
          <w:szCs w:val="20"/>
        </w:rPr>
        <w:t xml:space="preserve">with single CC with activated cell. </w:t>
      </w:r>
      <w:r w:rsidR="008C78E7" w:rsidRPr="0097032B">
        <w:rPr>
          <w:rFonts w:ascii="Times New Roman" w:hAnsi="Times New Roman" w:cs="Times New Roman"/>
          <w:sz w:val="20"/>
          <w:szCs w:val="20"/>
        </w:rPr>
        <w:t xml:space="preserve">All in all, for PC3/PC2 intra-band contiguous carrier aggregation with single CC with activated cell, the single CC MPR requirements </w:t>
      </w:r>
      <w:r w:rsidR="00F83DB8">
        <w:rPr>
          <w:rFonts w:ascii="Times New Roman" w:hAnsi="Times New Roman" w:cs="Times New Roman"/>
          <w:sz w:val="20"/>
          <w:szCs w:val="20"/>
        </w:rPr>
        <w:t xml:space="preserve">can </w:t>
      </w:r>
      <w:r w:rsidR="008C78E7" w:rsidRPr="0097032B">
        <w:rPr>
          <w:rFonts w:ascii="Times New Roman" w:hAnsi="Times New Roman" w:cs="Times New Roman"/>
          <w:sz w:val="20"/>
          <w:szCs w:val="20"/>
        </w:rPr>
        <w:t xml:space="preserve">apply. </w:t>
      </w:r>
      <w:r w:rsidR="00A73C75" w:rsidRPr="0097032B">
        <w:rPr>
          <w:rFonts w:ascii="Times New Roman" w:hAnsi="Times New Roman" w:cs="Times New Roman"/>
          <w:sz w:val="20"/>
          <w:szCs w:val="20"/>
        </w:rPr>
        <w:t xml:space="preserve">In this context, </w:t>
      </w:r>
      <w:bookmarkStart w:id="5" w:name="_Hlk170726986"/>
      <w:r w:rsidR="00224928" w:rsidRPr="0097032B">
        <w:rPr>
          <w:rFonts w:ascii="Times New Roman" w:hAnsi="Times New Roman" w:cs="Times New Roman"/>
          <w:sz w:val="20"/>
          <w:szCs w:val="20"/>
        </w:rPr>
        <w:t xml:space="preserve">integral region and boundary of </w:t>
      </w:r>
      <w:r w:rsidR="00902F5B" w:rsidRPr="0097032B">
        <w:rPr>
          <w:rFonts w:ascii="Times New Roman" w:hAnsi="Times New Roman" w:cs="Times New Roman"/>
          <w:sz w:val="20"/>
          <w:szCs w:val="20"/>
        </w:rPr>
        <w:t xml:space="preserve">spurious emissions/ACLR/SEM </w:t>
      </w:r>
      <w:r w:rsidR="006B29B2">
        <w:rPr>
          <w:rFonts w:ascii="Times New Roman" w:hAnsi="Times New Roman" w:cs="Times New Roman"/>
          <w:sz w:val="20"/>
          <w:szCs w:val="20"/>
        </w:rPr>
        <w:t>should be</w:t>
      </w:r>
      <w:r w:rsidR="00902F5B" w:rsidRPr="0097032B">
        <w:rPr>
          <w:rFonts w:ascii="Times New Roman" w:hAnsi="Times New Roman" w:cs="Times New Roman"/>
          <w:sz w:val="20"/>
          <w:szCs w:val="20"/>
        </w:rPr>
        <w:t xml:space="preserve"> based on </w:t>
      </w:r>
      <w:r w:rsidR="001C0E9A" w:rsidRPr="0097032B">
        <w:rPr>
          <w:rFonts w:ascii="Times New Roman" w:hAnsi="Times New Roman" w:cs="Times New Roman"/>
          <w:sz w:val="20"/>
          <w:szCs w:val="20"/>
        </w:rPr>
        <w:t xml:space="preserve">the </w:t>
      </w:r>
      <w:r w:rsidR="00A5681C" w:rsidRPr="0097032B">
        <w:rPr>
          <w:rFonts w:ascii="Times New Roman" w:hAnsi="Times New Roman" w:cs="Times New Roman"/>
          <w:sz w:val="20"/>
          <w:szCs w:val="20"/>
        </w:rPr>
        <w:t xml:space="preserve">activated </w:t>
      </w:r>
      <w:r w:rsidR="001C0E9A" w:rsidRPr="0097032B">
        <w:rPr>
          <w:rFonts w:ascii="Times New Roman" w:hAnsi="Times New Roman" w:cs="Times New Roman"/>
          <w:sz w:val="20"/>
          <w:szCs w:val="20"/>
        </w:rPr>
        <w:t>CC CBW</w:t>
      </w:r>
      <w:bookmarkEnd w:id="5"/>
      <w:r w:rsidR="001C0E9A" w:rsidRPr="0097032B">
        <w:rPr>
          <w:rFonts w:ascii="Times New Roman" w:hAnsi="Times New Roman" w:cs="Times New Roman"/>
          <w:sz w:val="20"/>
          <w:szCs w:val="20"/>
        </w:rPr>
        <w:t xml:space="preserve"> </w:t>
      </w:r>
      <w:r w:rsidR="00902F5B" w:rsidRPr="0097032B">
        <w:rPr>
          <w:rFonts w:ascii="Times New Roman" w:hAnsi="Times New Roman" w:cs="Times New Roman"/>
          <w:sz w:val="20"/>
          <w:szCs w:val="20"/>
        </w:rPr>
        <w:t>instead of</w:t>
      </w:r>
      <w:r w:rsidR="00902F5B" w:rsidRPr="00902F5B">
        <w:t xml:space="preserve"> </w:t>
      </w:r>
      <w:r w:rsidR="00902F5B" w:rsidRPr="00902F5B">
        <w:rPr>
          <w:rFonts w:ascii="Times New Roman" w:hAnsi="Times New Roman" w:cs="Times New Roman"/>
          <w:sz w:val="20"/>
          <w:szCs w:val="20"/>
        </w:rPr>
        <w:t>aggregated CBW</w:t>
      </w:r>
      <w:r w:rsidR="00A5681C">
        <w:rPr>
          <w:rFonts w:ascii="Times New Roman" w:hAnsi="Times New Roman" w:cs="Times New Roman"/>
          <w:sz w:val="20"/>
          <w:szCs w:val="20"/>
        </w:rPr>
        <w:t xml:space="preserve"> since</w:t>
      </w:r>
      <w:r w:rsidR="00A5681C" w:rsidRPr="00A5681C">
        <w:t xml:space="preserve"> </w:t>
      </w:r>
      <w:r w:rsidR="00A5681C" w:rsidRPr="00A5681C">
        <w:rPr>
          <w:rFonts w:ascii="Times New Roman" w:hAnsi="Times New Roman" w:cs="Times New Roman"/>
          <w:sz w:val="20"/>
          <w:szCs w:val="20"/>
        </w:rPr>
        <w:t>single CC</w:t>
      </w:r>
      <w:r w:rsidR="00A5681C">
        <w:rPr>
          <w:rFonts w:ascii="Times New Roman" w:hAnsi="Times New Roman" w:cs="Times New Roman"/>
          <w:sz w:val="20"/>
          <w:szCs w:val="20"/>
        </w:rPr>
        <w:t xml:space="preserve"> MPR</w:t>
      </w:r>
      <w:r w:rsidR="00A5681C" w:rsidRPr="00A5681C">
        <w:t xml:space="preserve"> </w:t>
      </w:r>
      <w:r w:rsidR="00A5681C" w:rsidRPr="00A5681C">
        <w:rPr>
          <w:rFonts w:ascii="Times New Roman" w:hAnsi="Times New Roman" w:cs="Times New Roman"/>
          <w:sz w:val="20"/>
          <w:szCs w:val="20"/>
        </w:rPr>
        <w:t>requirements apply</w:t>
      </w:r>
      <w:r w:rsidR="00902F5B">
        <w:rPr>
          <w:rFonts w:ascii="Times New Roman" w:hAnsi="Times New Roman" w:cs="Times New Roman"/>
          <w:sz w:val="20"/>
          <w:szCs w:val="20"/>
        </w:rPr>
        <w:t>.</w:t>
      </w:r>
    </w:p>
    <w:p w14:paraId="355C018A" w14:textId="77777777" w:rsidR="000F7ACA" w:rsidRDefault="000F7ACA" w:rsidP="000F7ACA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8998C71" w14:textId="2F93227D" w:rsidR="00B0540D" w:rsidRDefault="00B0540D" w:rsidP="000F7ACA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Observation </w:t>
      </w:r>
      <w:r w:rsidR="00E966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 w:rsid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I</w:t>
      </w:r>
      <w:r w:rsidR="005E66A2"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t is reasonable/justifiable to follow the MPR requirements of single CC operation, which is more stringent compared to intra-band contiguous UL CA MPR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3A9EF1CC" w14:textId="77777777" w:rsidR="001815A2" w:rsidRDefault="001815A2" w:rsidP="000F7ACA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62D27990" w14:textId="65F66566" w:rsidR="00D82A95" w:rsidRDefault="001815A2" w:rsidP="000F7ACA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 2: I</w:t>
      </w:r>
      <w:r w:rsidRPr="001815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has been</w:t>
      </w:r>
      <w:r w:rsidRPr="001815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agreed that the single CC MPR requirements apply for NR FR2 intra-band contiguous UL CA with single CC with activated cell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5DFA4A04" w14:textId="77777777" w:rsidR="001815A2" w:rsidRDefault="001815A2" w:rsidP="000F7ACA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363CF3E7" w14:textId="13612046" w:rsidR="000F7ACA" w:rsidRDefault="00631079" w:rsidP="00E96622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bookmarkStart w:id="6" w:name="_Hlk172121520"/>
      <w:r w:rsid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F</w:t>
      </w:r>
      <w:r w:rsidR="005E66A2"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or </w:t>
      </w:r>
      <w:r w:rsidR="0094029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PC3/PC2 </w:t>
      </w:r>
      <w:r w:rsidR="005E66A2"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intra-band contiguous carrier aggregation with single CC with activated cell, </w:t>
      </w:r>
      <w:bookmarkStart w:id="7" w:name="_Hlk172121158"/>
      <w:r w:rsidR="00413AA6" w:rsidRPr="00413AA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the single CC </w:t>
      </w:r>
      <w:r w:rsidR="00E21D86">
        <w:rPr>
          <w:rFonts w:ascii="Times New Roman" w:hAnsi="Times New Roman" w:cs="Times New Roman"/>
          <w:b/>
          <w:bCs/>
          <w:i/>
          <w:iCs/>
          <w:sz w:val="20"/>
          <w:szCs w:val="20"/>
        </w:rPr>
        <w:t>MPR requirements</w:t>
      </w:r>
      <w:r w:rsidR="00413AA6" w:rsidRPr="00413AA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8E779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can </w:t>
      </w:r>
      <w:r w:rsidR="00413AA6" w:rsidRPr="00413AA6">
        <w:rPr>
          <w:rFonts w:ascii="Times New Roman" w:hAnsi="Times New Roman" w:cs="Times New Roman"/>
          <w:b/>
          <w:bCs/>
          <w:i/>
          <w:iCs/>
          <w:sz w:val="20"/>
          <w:szCs w:val="20"/>
        </w:rPr>
        <w:t>apply</w:t>
      </w:r>
      <w:bookmarkEnd w:id="6"/>
      <w:r w:rsidR="00413AA6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bookmarkEnd w:id="7"/>
    <w:p w14:paraId="56C0C5A1" w14:textId="3C6AA806" w:rsidR="00A5681C" w:rsidRDefault="00A5681C" w:rsidP="00E96622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15D61F5" w14:textId="355B6D30" w:rsidR="00A5681C" w:rsidRDefault="00A5681C" w:rsidP="00A5681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2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I</w:t>
      </w:r>
      <w:r w:rsidRPr="00A5681C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ntegral region and boundary of spurious emissions/ACLR/SEM </w:t>
      </w:r>
      <w:r w:rsidR="008E779D">
        <w:rPr>
          <w:rFonts w:ascii="Times New Roman" w:hAnsi="Times New Roman" w:cs="Times New Roman"/>
          <w:b/>
          <w:bCs/>
          <w:i/>
          <w:iCs/>
          <w:sz w:val="20"/>
          <w:szCs w:val="20"/>
        </w:rPr>
        <w:t>should be</w:t>
      </w:r>
      <w:r w:rsidRPr="00A5681C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based on the activated CC CBW</w:t>
      </w:r>
      <w:r w:rsidRPr="00A5681C">
        <w:t xml:space="preserve"> </w:t>
      </w:r>
      <w:r w:rsidRPr="00A5681C">
        <w:rPr>
          <w:rFonts w:ascii="Times New Roman" w:hAnsi="Times New Roman" w:cs="Times New Roman"/>
          <w:b/>
          <w:bCs/>
          <w:i/>
          <w:iCs/>
          <w:sz w:val="20"/>
          <w:szCs w:val="20"/>
        </w:rPr>
        <w:t>instead of aggregated CBW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003B67C2" w14:textId="77777777" w:rsidR="00E96622" w:rsidRDefault="00E96622" w:rsidP="00E96622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7248658F" w14:textId="0FEAAA8A" w:rsidR="00E96622" w:rsidRDefault="009D11ED" w:rsidP="00E9662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bookmarkStart w:id="8" w:name="_Hlk166145070"/>
      <w:r w:rsidRPr="0097032B">
        <w:rPr>
          <w:rFonts w:ascii="Times New Roman" w:hAnsi="Times New Roman" w:cs="Times New Roman"/>
          <w:sz w:val="20"/>
          <w:szCs w:val="20"/>
        </w:rPr>
        <w:t xml:space="preserve">As already </w:t>
      </w:r>
      <w:r w:rsidR="007E60D2" w:rsidRPr="0097032B">
        <w:rPr>
          <w:rFonts w:ascii="Times New Roman" w:hAnsi="Times New Roman" w:cs="Times New Roman"/>
          <w:sz w:val="20"/>
          <w:szCs w:val="20"/>
        </w:rPr>
        <w:t>mentioned</w:t>
      </w:r>
      <w:r w:rsidRPr="0097032B">
        <w:rPr>
          <w:rFonts w:ascii="Times New Roman" w:hAnsi="Times New Roman" w:cs="Times New Roman"/>
          <w:sz w:val="20"/>
          <w:szCs w:val="20"/>
        </w:rPr>
        <w:t xml:space="preserve"> in last meeting, </w:t>
      </w:r>
      <w:r w:rsidR="00111E5C" w:rsidRPr="0097032B">
        <w:rPr>
          <w:rFonts w:ascii="Times New Roman" w:hAnsi="Times New Roman" w:cs="Times New Roman"/>
          <w:sz w:val="20"/>
          <w:szCs w:val="20"/>
        </w:rPr>
        <w:t>power boosting</w:t>
      </w:r>
      <w:r w:rsidR="00111E5C">
        <w:rPr>
          <w:rFonts w:ascii="Times New Roman" w:hAnsi="Times New Roman" w:cs="Times New Roman"/>
          <w:sz w:val="20"/>
          <w:szCs w:val="20"/>
        </w:rPr>
        <w:t xml:space="preserve"> </w:t>
      </w:r>
      <w:r w:rsidR="00111E5C" w:rsidRPr="00111E5C">
        <w:rPr>
          <w:rFonts w:ascii="Times New Roman" w:hAnsi="Times New Roman" w:cs="Times New Roman"/>
          <w:sz w:val="20"/>
          <w:szCs w:val="20"/>
        </w:rPr>
        <w:t xml:space="preserve">feature </w:t>
      </w:r>
      <w:r w:rsidR="00111E5C">
        <w:rPr>
          <w:rFonts w:ascii="Times New Roman" w:hAnsi="Times New Roman" w:cs="Times New Roman"/>
          <w:sz w:val="20"/>
          <w:szCs w:val="20"/>
        </w:rPr>
        <w:t>is</w:t>
      </w:r>
      <w:r w:rsidR="007E60D2" w:rsidRPr="0097032B">
        <w:rPr>
          <w:rFonts w:ascii="Times New Roman" w:hAnsi="Times New Roman" w:cs="Times New Roman"/>
          <w:sz w:val="20"/>
          <w:szCs w:val="20"/>
        </w:rPr>
        <w:t xml:space="preserve"> only </w:t>
      </w:r>
      <w:r w:rsidR="00111E5C">
        <w:rPr>
          <w:rFonts w:ascii="Times New Roman" w:hAnsi="Times New Roman" w:cs="Times New Roman"/>
          <w:sz w:val="20"/>
          <w:szCs w:val="20"/>
        </w:rPr>
        <w:t>specified for</w:t>
      </w:r>
      <w:r w:rsidR="007E60D2" w:rsidRPr="0097032B">
        <w:rPr>
          <w:rFonts w:ascii="Times New Roman" w:hAnsi="Times New Roman" w:cs="Times New Roman"/>
          <w:sz w:val="20"/>
          <w:szCs w:val="20"/>
        </w:rPr>
        <w:t xml:space="preserve"> single CC</w:t>
      </w:r>
      <w:r w:rsidR="00111E5C">
        <w:rPr>
          <w:rFonts w:ascii="Times New Roman" w:hAnsi="Times New Roman" w:cs="Times New Roman"/>
          <w:sz w:val="20"/>
          <w:szCs w:val="20"/>
        </w:rPr>
        <w:t xml:space="preserve"> </w:t>
      </w:r>
      <w:r w:rsidR="00111E5C" w:rsidRPr="00111E5C">
        <w:rPr>
          <w:rFonts w:ascii="Times New Roman" w:hAnsi="Times New Roman" w:cs="Times New Roman"/>
          <w:sz w:val="20"/>
          <w:szCs w:val="20"/>
        </w:rPr>
        <w:t xml:space="preserve">operation </w:t>
      </w:r>
      <w:r w:rsidR="00111E5C">
        <w:rPr>
          <w:rFonts w:ascii="Times New Roman" w:hAnsi="Times New Roman" w:cs="Times New Roman"/>
          <w:sz w:val="20"/>
          <w:szCs w:val="20"/>
        </w:rPr>
        <w:t>not</w:t>
      </w:r>
      <w:r w:rsidR="00CE6711" w:rsidRPr="0097032B">
        <w:rPr>
          <w:rFonts w:ascii="Times New Roman" w:hAnsi="Times New Roman" w:cs="Times New Roman"/>
          <w:sz w:val="20"/>
          <w:szCs w:val="20"/>
        </w:rPr>
        <w:t xml:space="preserve"> CA.</w:t>
      </w:r>
      <w:r w:rsidR="00111E5C">
        <w:rPr>
          <w:rFonts w:ascii="Times New Roman" w:hAnsi="Times New Roman" w:cs="Times New Roman"/>
          <w:sz w:val="20"/>
          <w:szCs w:val="20"/>
        </w:rPr>
        <w:t xml:space="preserve"> </w:t>
      </w:r>
      <w:r w:rsidR="004578D3" w:rsidRPr="0097032B">
        <w:rPr>
          <w:rFonts w:ascii="Times New Roman" w:hAnsi="Times New Roman" w:cs="Times New Roman"/>
          <w:sz w:val="20"/>
          <w:szCs w:val="20"/>
        </w:rPr>
        <w:t xml:space="preserve">Therefore, to our understanding, </w:t>
      </w:r>
      <w:r w:rsidR="00111E5C" w:rsidRPr="0097032B">
        <w:rPr>
          <w:rFonts w:ascii="Times New Roman" w:hAnsi="Times New Roman" w:cs="Times New Roman"/>
          <w:sz w:val="20"/>
          <w:szCs w:val="20"/>
        </w:rPr>
        <w:t>power boosting</w:t>
      </w:r>
      <w:r w:rsidR="00111E5C">
        <w:rPr>
          <w:rFonts w:ascii="Times New Roman" w:hAnsi="Times New Roman" w:cs="Times New Roman"/>
          <w:sz w:val="20"/>
          <w:szCs w:val="20"/>
        </w:rPr>
        <w:t xml:space="preserve"> </w:t>
      </w:r>
      <w:r w:rsidR="00111E5C" w:rsidRPr="00111E5C">
        <w:rPr>
          <w:rFonts w:ascii="Times New Roman" w:hAnsi="Times New Roman" w:cs="Times New Roman"/>
          <w:sz w:val="20"/>
          <w:szCs w:val="20"/>
        </w:rPr>
        <w:t xml:space="preserve">feature </w:t>
      </w:r>
      <w:r w:rsidR="004578D3" w:rsidRPr="0097032B">
        <w:rPr>
          <w:rFonts w:ascii="Times New Roman" w:hAnsi="Times New Roman" w:cs="Times New Roman"/>
          <w:sz w:val="20"/>
          <w:szCs w:val="20"/>
        </w:rPr>
        <w:t>should not be applied to intra-band contiguous UL CA, even when only one of the 2 CC is activated</w:t>
      </w:r>
      <w:r w:rsidR="00D35D1D" w:rsidRPr="0097032B">
        <w:rPr>
          <w:rFonts w:ascii="Times New Roman" w:hAnsi="Times New Roman" w:cs="Times New Roman"/>
          <w:sz w:val="20"/>
          <w:szCs w:val="20"/>
        </w:rPr>
        <w:t>.</w:t>
      </w:r>
      <w:r w:rsidR="007972C2" w:rsidRPr="0097032B">
        <w:rPr>
          <w:rFonts w:ascii="Times New Roman" w:hAnsi="Times New Roman" w:cs="Times New Roman"/>
          <w:sz w:val="20"/>
          <w:szCs w:val="20"/>
        </w:rPr>
        <w:t xml:space="preserve"> </w:t>
      </w:r>
      <w:r w:rsidR="00E26A05" w:rsidRPr="0097032B">
        <w:rPr>
          <w:rFonts w:ascii="Times New Roman" w:hAnsi="Times New Roman" w:cs="Times New Roman"/>
          <w:sz w:val="20"/>
          <w:szCs w:val="20"/>
        </w:rPr>
        <w:t>And we</w:t>
      </w:r>
      <w:r w:rsidR="00E26A05">
        <w:rPr>
          <w:rFonts w:ascii="Times New Roman" w:hAnsi="Times New Roman" w:cs="Times New Roman"/>
          <w:sz w:val="20"/>
          <w:szCs w:val="20"/>
        </w:rPr>
        <w:t xml:space="preserve"> </w:t>
      </w:r>
      <w:r w:rsidR="000F7ACA" w:rsidRPr="008E4376">
        <w:rPr>
          <w:rFonts w:ascii="Times New Roman" w:hAnsi="Times New Roman" w:cs="Times New Roman"/>
          <w:sz w:val="20"/>
          <w:szCs w:val="20"/>
        </w:rPr>
        <w:t>further polish our proposal of last meeting</w:t>
      </w:r>
      <w:r w:rsidR="000F7ACA">
        <w:rPr>
          <w:rFonts w:ascii="Times New Roman" w:hAnsi="Times New Roman" w:cs="Times New Roman"/>
          <w:sz w:val="20"/>
          <w:szCs w:val="20"/>
        </w:rPr>
        <w:t xml:space="preserve"> </w:t>
      </w:r>
      <w:r w:rsidR="000F7ACA" w:rsidRPr="008E4376">
        <w:rPr>
          <w:rFonts w:ascii="Times New Roman" w:hAnsi="Times New Roman" w:cs="Times New Roman"/>
          <w:sz w:val="20"/>
          <w:szCs w:val="20"/>
        </w:rPr>
        <w:t>as following</w:t>
      </w:r>
      <w:r w:rsidR="000F7ACA">
        <w:rPr>
          <w:rFonts w:ascii="Times New Roman" w:hAnsi="Times New Roman" w:cs="Times New Roman"/>
          <w:sz w:val="20"/>
          <w:szCs w:val="20"/>
        </w:rPr>
        <w:t>,</w:t>
      </w:r>
    </w:p>
    <w:p w14:paraId="27D51EE1" w14:textId="77777777" w:rsidR="002D1D23" w:rsidRDefault="000F7ACA" w:rsidP="00E9662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 w:rsidRPr="00D762D0">
        <w:rPr>
          <w:rFonts w:ascii="Times New Roman" w:hAnsi="Times New Roman" w:cs="Times New Roman"/>
          <w:sz w:val="20"/>
          <w:szCs w:val="20"/>
        </w:rPr>
        <w:t xml:space="preserve">or </w:t>
      </w:r>
      <w:r w:rsidR="002D1D23">
        <w:rPr>
          <w:rFonts w:ascii="Times New Roman" w:hAnsi="Times New Roman" w:cs="Times New Roman"/>
          <w:sz w:val="20"/>
          <w:szCs w:val="20"/>
        </w:rPr>
        <w:t xml:space="preserve">PC3/PC2 </w:t>
      </w:r>
      <w:r w:rsidRPr="00D762D0">
        <w:rPr>
          <w:rFonts w:ascii="Times New Roman" w:hAnsi="Times New Roman" w:cs="Times New Roman"/>
          <w:sz w:val="20"/>
          <w:szCs w:val="20"/>
        </w:rPr>
        <w:t xml:space="preserve">intra-band contiguous carrier aggregation with single CC with activated cell, </w:t>
      </w:r>
    </w:p>
    <w:p w14:paraId="62AF8A37" w14:textId="2567402A" w:rsidR="002D1D23" w:rsidRDefault="002D1D23" w:rsidP="00E9662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(1) </w:t>
      </w:r>
      <w:r w:rsidR="000F7ACA" w:rsidRPr="00D762D0">
        <w:rPr>
          <w:rFonts w:ascii="Times New Roman" w:hAnsi="Times New Roman" w:cs="Times New Roman"/>
          <w:sz w:val="20"/>
          <w:szCs w:val="20"/>
        </w:rPr>
        <w:t>MPR defined in Table 6.2.2-1 applies for UE power class 3 CA bandwidth classes B and C</w:t>
      </w:r>
      <w:r w:rsidR="009058F5">
        <w:rPr>
          <w:rFonts w:ascii="Times New Roman" w:hAnsi="Times New Roman" w:cs="Times New Roman"/>
          <w:sz w:val="20"/>
          <w:szCs w:val="20"/>
        </w:rPr>
        <w:t>.</w:t>
      </w:r>
    </w:p>
    <w:p w14:paraId="1E7EF8C1" w14:textId="048F01EE" w:rsidR="002D1D23" w:rsidRDefault="002D1D23" w:rsidP="00E9662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(2) </w:t>
      </w:r>
      <w:r w:rsidR="000F7ACA" w:rsidRPr="00D762D0">
        <w:rPr>
          <w:rFonts w:ascii="Times New Roman" w:hAnsi="Times New Roman" w:cs="Times New Roman"/>
          <w:sz w:val="20"/>
          <w:szCs w:val="20"/>
        </w:rPr>
        <w:t>MPR defined in Table 6.2D.2-1 applies for power class 2 CA bandwidth classes B and C when TxD capability is indicated</w:t>
      </w:r>
      <w:r w:rsidR="009058F5">
        <w:rPr>
          <w:rFonts w:ascii="Times New Roman" w:hAnsi="Times New Roman" w:cs="Times New Roman"/>
          <w:sz w:val="20"/>
          <w:szCs w:val="20"/>
        </w:rPr>
        <w:t>.</w:t>
      </w:r>
    </w:p>
    <w:p w14:paraId="5E55978A" w14:textId="7D49B2B1" w:rsidR="000F7ACA" w:rsidRDefault="002D1D23" w:rsidP="00E9662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(3) </w:t>
      </w:r>
      <w:r w:rsidR="000F7ACA" w:rsidRPr="00D762D0">
        <w:rPr>
          <w:rFonts w:ascii="Times New Roman" w:hAnsi="Times New Roman" w:cs="Times New Roman"/>
          <w:sz w:val="20"/>
          <w:szCs w:val="20"/>
        </w:rPr>
        <w:t>MPR defined in Table 6.2.2-2 applies for power class 2 CA bandwidth classes B and C when TxD capability is absent</w:t>
      </w:r>
      <w:r w:rsidR="00457991">
        <w:rPr>
          <w:rFonts w:ascii="Times New Roman" w:hAnsi="Times New Roman" w:cs="Times New Roman"/>
          <w:sz w:val="20"/>
          <w:szCs w:val="20"/>
        </w:rPr>
        <w:t>.</w:t>
      </w:r>
    </w:p>
    <w:p w14:paraId="74C86193" w14:textId="77777777" w:rsidR="001815A2" w:rsidRDefault="001815A2" w:rsidP="00E96622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2A970217" w14:textId="3E6022DD" w:rsidR="00E96622" w:rsidRDefault="00E96622" w:rsidP="00E96622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D960FE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F</w:t>
      </w:r>
      <w:r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or </w:t>
      </w:r>
      <w:r w:rsidR="0094029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PC3/PC2 </w:t>
      </w:r>
      <w:r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intra-band contiguous carrier aggregation with single CC with activated cell, </w:t>
      </w:r>
    </w:p>
    <w:p w14:paraId="239A325D" w14:textId="421763DD" w:rsidR="007834B3" w:rsidRDefault="007834B3" w:rsidP="00E96622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834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MPR defined in Table 6.2.2-1 applies for UE power class 3 CA bandwidth classes B and C</w:t>
      </w:r>
      <w:r w:rsidR="00D16A6D">
        <w:rPr>
          <w:rFonts w:ascii="Times New Roman" w:hAnsi="Times New Roman" w:cs="Times New Roman"/>
          <w:b/>
          <w:bCs/>
          <w:i/>
          <w:iCs/>
          <w:sz w:val="20"/>
          <w:szCs w:val="20"/>
        </w:rPr>
        <w:t>;</w:t>
      </w:r>
    </w:p>
    <w:p w14:paraId="5554F13B" w14:textId="165EE337" w:rsidR="007834B3" w:rsidRDefault="007834B3" w:rsidP="00E96622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834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MPR defined in Table 6.2D.2-1 applies for power class 2 CA bandwidth classes B and C when TxD capability is indicated</w:t>
      </w:r>
      <w:r w:rsidR="00D16A6D">
        <w:rPr>
          <w:rFonts w:ascii="Times New Roman" w:hAnsi="Times New Roman" w:cs="Times New Roman"/>
          <w:b/>
          <w:bCs/>
          <w:i/>
          <w:iCs/>
          <w:sz w:val="20"/>
          <w:szCs w:val="20"/>
        </w:rPr>
        <w:t>;</w:t>
      </w:r>
    </w:p>
    <w:p w14:paraId="0FE249A5" w14:textId="513F64DC" w:rsidR="007834B3" w:rsidRDefault="007834B3" w:rsidP="00E96622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834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MPR defined in Table 6.2.2-2 applies for power class 2 CA bandwidth classes B and C when TxD capability is absent.</w:t>
      </w:r>
    </w:p>
    <w:bookmarkEnd w:id="8"/>
    <w:p w14:paraId="68DD1DA9" w14:textId="77777777" w:rsidR="000F7ACA" w:rsidRDefault="000F7ACA" w:rsidP="00631079">
      <w:pPr>
        <w:tabs>
          <w:tab w:val="left" w:pos="7850"/>
        </w:tabs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FF98A85" w14:textId="200DD5A7" w:rsidR="00D417B9" w:rsidRPr="00D417B9" w:rsidRDefault="00D417B9" w:rsidP="00D417B9">
      <w:pPr>
        <w:keepNext/>
        <w:keepLines/>
        <w:widowControl w:val="0"/>
        <w:spacing w:before="260" w:after="0" w:line="416" w:lineRule="auto"/>
        <w:jc w:val="both"/>
        <w:outlineLvl w:val="1"/>
        <w:rPr>
          <w:rFonts w:ascii="Arial" w:hAnsi="Arial" w:cs="Arial"/>
          <w:i/>
          <w:strike/>
          <w:sz w:val="32"/>
          <w:szCs w:val="32"/>
          <w:lang w:eastAsia="zh-CN"/>
          <w14:ligatures w14:val="none"/>
        </w:rPr>
      </w:pPr>
      <w:r>
        <w:rPr>
          <w:rFonts w:ascii="Arial" w:hAnsi="Arial" w:cs="Arial"/>
          <w:sz w:val="32"/>
          <w:szCs w:val="32"/>
          <w:lang w:val="en-GB" w:eastAsia="zh-CN"/>
          <w14:ligatures w14:val="none"/>
        </w:rPr>
        <w:t>2</w:t>
      </w:r>
      <w:r w:rsidRPr="008D480E">
        <w:rPr>
          <w:rFonts w:ascii="Arial" w:hAnsi="Arial" w:cs="Arial"/>
          <w:sz w:val="32"/>
          <w:szCs w:val="32"/>
          <w:lang w:val="en-GB" w:eastAsia="zh-CN"/>
          <w14:ligatures w14:val="none"/>
        </w:rPr>
        <w:t>.</w:t>
      </w:r>
      <w:r>
        <w:rPr>
          <w:rFonts w:ascii="Arial" w:hAnsi="Arial" w:cs="Arial"/>
          <w:sz w:val="32"/>
          <w:szCs w:val="32"/>
          <w:lang w:val="en-GB" w:eastAsia="zh-CN"/>
          <w14:ligatures w14:val="none"/>
        </w:rPr>
        <w:t>2</w:t>
      </w:r>
      <w:r w:rsidRPr="008D480E"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 </w:t>
      </w:r>
      <w:r w:rsidRPr="00403F08">
        <w:rPr>
          <w:rFonts w:ascii="Arial" w:hAnsi="Arial" w:cs="Arial"/>
          <w:sz w:val="32"/>
          <w:szCs w:val="32"/>
          <w:lang w:val="en-GB" w:eastAsia="zh-CN"/>
          <w14:ligatures w14:val="none"/>
        </w:rPr>
        <w:t>MPR reduction for</w:t>
      </w:r>
      <w:r w:rsidRPr="00C11B4D"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 NR </w:t>
      </w:r>
      <w:r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FR1 </w:t>
      </w:r>
      <w:r w:rsidRPr="00C11B4D"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intra-band </w:t>
      </w:r>
      <w:bookmarkStart w:id="9" w:name="_Hlk166147563"/>
      <w:r w:rsidRPr="00D417B9">
        <w:rPr>
          <w:rFonts w:ascii="Arial" w:hAnsi="Arial" w:cs="Arial"/>
          <w:sz w:val="32"/>
          <w:szCs w:val="32"/>
          <w:lang w:val="en-GB" w:eastAsia="zh-CN"/>
          <w14:ligatures w14:val="none"/>
        </w:rPr>
        <w:t>non-contiguous</w:t>
      </w:r>
      <w:r w:rsidRPr="00E85230">
        <w:rPr>
          <w:rFonts w:ascii="Arial" w:hAnsi="Arial" w:cs="Arial"/>
          <w:sz w:val="32"/>
          <w:szCs w:val="32"/>
          <w:lang w:val="en-GB" w:eastAsia="zh-CN"/>
          <w14:ligatures w14:val="none"/>
        </w:rPr>
        <w:t xml:space="preserve"> </w:t>
      </w:r>
      <w:bookmarkEnd w:id="9"/>
      <w:r w:rsidRPr="00C11B4D">
        <w:rPr>
          <w:rFonts w:ascii="Arial" w:hAnsi="Arial" w:cs="Arial"/>
          <w:sz w:val="32"/>
          <w:szCs w:val="32"/>
          <w:lang w:val="en-GB" w:eastAsia="zh-CN"/>
          <w14:ligatures w14:val="none"/>
        </w:rPr>
        <w:t>UL CA</w:t>
      </w:r>
    </w:p>
    <w:p w14:paraId="0F0725A3" w14:textId="051766A9" w:rsidR="001102D3" w:rsidRDefault="000A5252" w:rsidP="008A617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0A5252">
        <w:rPr>
          <w:rFonts w:ascii="Times New Roman" w:hAnsi="Times New Roman" w:cs="Times New Roman"/>
          <w:sz w:val="20"/>
          <w:szCs w:val="20"/>
        </w:rPr>
        <w:t xml:space="preserve">As already discussed in </w:t>
      </w:r>
      <w:r w:rsidRPr="00C508DE">
        <w:rPr>
          <w:rFonts w:ascii="Times New Roman" w:hAnsi="Times New Roman" w:cs="Times New Roman"/>
          <w:sz w:val="20"/>
          <w:szCs w:val="20"/>
        </w:rPr>
        <w:t>our paper [2] last meeting</w:t>
      </w:r>
      <w:r w:rsidR="005F41A7">
        <w:rPr>
          <w:rFonts w:ascii="Times New Roman" w:hAnsi="Times New Roman" w:cs="Times New Roman"/>
          <w:sz w:val="20"/>
          <w:szCs w:val="20"/>
        </w:rPr>
        <w:t xml:space="preserve">, </w:t>
      </w:r>
      <w:bookmarkStart w:id="10" w:name="_Hlk166148611"/>
      <w:r w:rsidR="00281612" w:rsidRPr="00281612">
        <w:rPr>
          <w:rFonts w:ascii="Times New Roman" w:hAnsi="Times New Roman" w:cs="Times New Roman"/>
          <w:sz w:val="20"/>
          <w:szCs w:val="20"/>
        </w:rPr>
        <w:t>for FR1 intra-band contiguous UL CA (PC2/PC3)</w:t>
      </w:r>
      <w:r w:rsidR="00281612">
        <w:rPr>
          <w:rFonts w:ascii="Times New Roman" w:hAnsi="Times New Roman" w:cs="Times New Roman"/>
          <w:sz w:val="20"/>
          <w:szCs w:val="20"/>
        </w:rPr>
        <w:t xml:space="preserve"> </w:t>
      </w:r>
      <w:r w:rsidR="005F41A7" w:rsidRPr="005F41A7">
        <w:rPr>
          <w:rFonts w:ascii="Times New Roman" w:hAnsi="Times New Roman" w:cs="Times New Roman"/>
          <w:sz w:val="20"/>
          <w:szCs w:val="20"/>
        </w:rPr>
        <w:t>in the WID</w:t>
      </w:r>
      <w:r w:rsidR="005F41A7">
        <w:rPr>
          <w:rFonts w:ascii="Times New Roman" w:hAnsi="Times New Roman" w:cs="Times New Roman"/>
          <w:sz w:val="20"/>
          <w:szCs w:val="20"/>
        </w:rPr>
        <w:t>, it is “</w:t>
      </w:r>
      <w:r w:rsidR="005F41A7" w:rsidRPr="005F41A7">
        <w:rPr>
          <w:rFonts w:ascii="Times New Roman" w:hAnsi="Times New Roman" w:cs="Times New Roman"/>
          <w:sz w:val="20"/>
          <w:szCs w:val="20"/>
        </w:rPr>
        <w:t>Specify MPR applicability</w:t>
      </w:r>
      <w:r w:rsidR="005F41A7">
        <w:rPr>
          <w:rFonts w:ascii="Times New Roman" w:hAnsi="Times New Roman" w:cs="Times New Roman"/>
          <w:sz w:val="20"/>
          <w:szCs w:val="20"/>
        </w:rPr>
        <w:t>” instead of “</w:t>
      </w:r>
      <w:r w:rsidR="005F41A7" w:rsidRPr="005F41A7">
        <w:rPr>
          <w:rFonts w:ascii="Times New Roman" w:hAnsi="Times New Roman" w:cs="Times New Roman"/>
          <w:sz w:val="20"/>
          <w:szCs w:val="20"/>
        </w:rPr>
        <w:t xml:space="preserve">Specify </w:t>
      </w:r>
      <w:r w:rsidR="005F41A7">
        <w:rPr>
          <w:rFonts w:ascii="Times New Roman" w:hAnsi="Times New Roman" w:cs="Times New Roman"/>
          <w:sz w:val="20"/>
          <w:szCs w:val="20"/>
        </w:rPr>
        <w:t xml:space="preserve">new </w:t>
      </w:r>
      <w:r w:rsidR="005F41A7" w:rsidRPr="005F41A7">
        <w:rPr>
          <w:rFonts w:ascii="Times New Roman" w:hAnsi="Times New Roman" w:cs="Times New Roman"/>
          <w:sz w:val="20"/>
          <w:szCs w:val="20"/>
        </w:rPr>
        <w:t xml:space="preserve">MPR </w:t>
      </w:r>
      <w:r w:rsidR="005F41A7">
        <w:rPr>
          <w:rFonts w:ascii="Times New Roman" w:hAnsi="Times New Roman" w:cs="Times New Roman"/>
          <w:sz w:val="20"/>
          <w:szCs w:val="20"/>
        </w:rPr>
        <w:t>requirements/values”</w:t>
      </w:r>
      <w:r w:rsidR="005F41A7" w:rsidRPr="005F41A7">
        <w:t xml:space="preserve"> </w:t>
      </w:r>
      <w:r w:rsidR="005F41A7">
        <w:rPr>
          <w:rFonts w:ascii="Times New Roman" w:hAnsi="Times New Roman" w:cs="Times New Roman"/>
          <w:sz w:val="20"/>
          <w:szCs w:val="20"/>
        </w:rPr>
        <w:t>and “</w:t>
      </w:r>
      <w:bookmarkStart w:id="11" w:name="_Hlk166151492"/>
      <w:r w:rsidR="005F41A7" w:rsidRPr="005F41A7">
        <w:rPr>
          <w:rFonts w:ascii="Times New Roman" w:hAnsi="Times New Roman" w:cs="Times New Roman"/>
          <w:sz w:val="20"/>
          <w:szCs w:val="20"/>
        </w:rPr>
        <w:t xml:space="preserve">Specify </w:t>
      </w:r>
      <w:r w:rsidR="005F41A7">
        <w:rPr>
          <w:rFonts w:ascii="Times New Roman" w:hAnsi="Times New Roman" w:cs="Times New Roman"/>
          <w:sz w:val="20"/>
          <w:szCs w:val="20"/>
        </w:rPr>
        <w:t xml:space="preserve">new </w:t>
      </w:r>
      <w:r w:rsidR="005F41A7" w:rsidRPr="005F41A7">
        <w:rPr>
          <w:rFonts w:ascii="Times New Roman" w:hAnsi="Times New Roman" w:cs="Times New Roman"/>
          <w:sz w:val="20"/>
          <w:szCs w:val="20"/>
        </w:rPr>
        <w:t xml:space="preserve">MPR </w:t>
      </w:r>
      <w:r w:rsidR="005F41A7">
        <w:rPr>
          <w:rFonts w:ascii="Times New Roman" w:hAnsi="Times New Roman" w:cs="Times New Roman"/>
          <w:sz w:val="20"/>
          <w:szCs w:val="20"/>
        </w:rPr>
        <w:t>requirements/values</w:t>
      </w:r>
      <w:bookmarkEnd w:id="11"/>
      <w:r w:rsidR="005F41A7">
        <w:rPr>
          <w:rFonts w:ascii="Times New Roman" w:hAnsi="Times New Roman" w:cs="Times New Roman"/>
          <w:sz w:val="20"/>
          <w:szCs w:val="20"/>
        </w:rPr>
        <w:t xml:space="preserve">” </w:t>
      </w:r>
      <w:bookmarkStart w:id="12" w:name="_Hlk166148708"/>
      <w:r w:rsidR="00AC32AB">
        <w:rPr>
          <w:rFonts w:ascii="Times New Roman" w:hAnsi="Times New Roman" w:cs="Times New Roman"/>
          <w:sz w:val="20"/>
          <w:szCs w:val="20"/>
        </w:rPr>
        <w:t>brings</w:t>
      </w:r>
      <w:r w:rsidR="005F41A7">
        <w:rPr>
          <w:rFonts w:ascii="Times New Roman" w:hAnsi="Times New Roman" w:cs="Times New Roman"/>
          <w:sz w:val="20"/>
          <w:szCs w:val="20"/>
        </w:rPr>
        <w:t xml:space="preserve"> large workload and</w:t>
      </w:r>
      <w:r w:rsidR="005F41A7" w:rsidRPr="005F41A7">
        <w:t xml:space="preserve"> </w:t>
      </w:r>
      <w:r w:rsidR="005F41A7" w:rsidRPr="005F41A7">
        <w:rPr>
          <w:rFonts w:ascii="Times New Roman" w:hAnsi="Times New Roman" w:cs="Times New Roman"/>
          <w:sz w:val="20"/>
          <w:szCs w:val="20"/>
        </w:rPr>
        <w:t>ambiguous</w:t>
      </w:r>
      <w:r w:rsidR="005F41A7">
        <w:rPr>
          <w:rFonts w:ascii="Times New Roman" w:hAnsi="Times New Roman" w:cs="Times New Roman"/>
          <w:sz w:val="20"/>
          <w:szCs w:val="20"/>
        </w:rPr>
        <w:t xml:space="preserve"> </w:t>
      </w:r>
      <w:r w:rsidR="005F41A7" w:rsidRPr="005F41A7">
        <w:rPr>
          <w:rFonts w:ascii="Times New Roman" w:hAnsi="Times New Roman" w:cs="Times New Roman"/>
          <w:sz w:val="20"/>
          <w:szCs w:val="20"/>
        </w:rPr>
        <w:t>benefit</w:t>
      </w:r>
      <w:bookmarkEnd w:id="12"/>
      <w:r w:rsidR="005F41A7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03F2F">
        <w:rPr>
          <w:rFonts w:ascii="Times New Roman" w:hAnsi="Times New Roman" w:cs="Times New Roman"/>
          <w:sz w:val="20"/>
          <w:szCs w:val="20"/>
        </w:rPr>
        <w:t xml:space="preserve">Therefore, to our understanding, </w:t>
      </w:r>
      <w:r w:rsidR="00C03F2F" w:rsidRPr="00C03F2F">
        <w:rPr>
          <w:rFonts w:ascii="Times New Roman" w:hAnsi="Times New Roman" w:cs="Times New Roman"/>
          <w:sz w:val="20"/>
          <w:szCs w:val="20"/>
        </w:rPr>
        <w:t xml:space="preserve">the </w:t>
      </w:r>
      <w:r w:rsidR="00C03F2F">
        <w:rPr>
          <w:rFonts w:ascii="Times New Roman" w:hAnsi="Times New Roman" w:cs="Times New Roman"/>
          <w:sz w:val="20"/>
          <w:szCs w:val="20"/>
        </w:rPr>
        <w:t xml:space="preserve">work </w:t>
      </w:r>
      <w:r w:rsidR="00C03F2F" w:rsidRPr="00C03F2F">
        <w:rPr>
          <w:rFonts w:ascii="Times New Roman" w:hAnsi="Times New Roman" w:cs="Times New Roman"/>
          <w:sz w:val="20"/>
          <w:szCs w:val="20"/>
        </w:rPr>
        <w:t xml:space="preserve">scope for NC CA </w:t>
      </w:r>
      <w:r w:rsidR="00C03F2F">
        <w:rPr>
          <w:rFonts w:ascii="Times New Roman" w:hAnsi="Times New Roman" w:cs="Times New Roman"/>
          <w:sz w:val="20"/>
          <w:szCs w:val="20"/>
        </w:rPr>
        <w:t xml:space="preserve">should be </w:t>
      </w:r>
      <w:r w:rsidR="00C03F2F" w:rsidRPr="00C03F2F">
        <w:rPr>
          <w:rFonts w:ascii="Times New Roman" w:hAnsi="Times New Roman" w:cs="Times New Roman"/>
          <w:sz w:val="20"/>
          <w:szCs w:val="20"/>
        </w:rPr>
        <w:t>limited to</w:t>
      </w:r>
      <w:r w:rsidR="00C03F2F">
        <w:rPr>
          <w:rFonts w:ascii="Times New Roman" w:hAnsi="Times New Roman" w:cs="Times New Roman"/>
          <w:sz w:val="20"/>
          <w:szCs w:val="20"/>
        </w:rPr>
        <w:t xml:space="preserve"> only study </w:t>
      </w:r>
      <w:r w:rsidR="00C03F2F" w:rsidRPr="00C03F2F">
        <w:rPr>
          <w:rFonts w:ascii="Times New Roman" w:hAnsi="Times New Roman" w:cs="Times New Roman"/>
          <w:sz w:val="20"/>
          <w:szCs w:val="20"/>
        </w:rPr>
        <w:t>MPR applicability</w:t>
      </w:r>
      <w:r w:rsidR="00C03F2F">
        <w:rPr>
          <w:rFonts w:ascii="Times New Roman" w:hAnsi="Times New Roman" w:cs="Times New Roman"/>
          <w:sz w:val="20"/>
          <w:szCs w:val="20"/>
        </w:rPr>
        <w:t>.</w:t>
      </w:r>
    </w:p>
    <w:p w14:paraId="6DCA2281" w14:textId="2D4E7B58" w:rsidR="00313643" w:rsidRDefault="00313643" w:rsidP="008A617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5210DF">
        <w:rPr>
          <w:rFonts w:ascii="Times New Roman" w:hAnsi="Times New Roman" w:cs="Times New Roman"/>
          <w:noProof/>
          <w:sz w:val="20"/>
          <w:szCs w:val="20"/>
          <w:bdr w:val="single" w:sz="4" w:space="0" w:color="auto"/>
        </w:rPr>
        <w:drawing>
          <wp:inline distT="0" distB="0" distL="0" distR="0" wp14:anchorId="36DEAA1F" wp14:editId="17314839">
            <wp:extent cx="5490817" cy="702373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3049" cy="702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0"/>
    <w:p w14:paraId="29CB5B8F" w14:textId="784DD240" w:rsidR="003E6C90" w:rsidRDefault="005F41A7" w:rsidP="005F41A7">
      <w:pPr>
        <w:tabs>
          <w:tab w:val="left" w:pos="7850"/>
        </w:tabs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Observation </w:t>
      </w:r>
      <w:r w:rsidR="001815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: I</w:t>
      </w:r>
      <w:r w:rsidRPr="005F41A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n the WID, it is “Specify MPR applicability” instead of “Specify new MPR requirements/values” and “Specify new MPR requirements/values” </w:t>
      </w:r>
      <w:r w:rsidR="00AC32AB" w:rsidRPr="00AC32AB">
        <w:rPr>
          <w:rFonts w:ascii="Times New Roman" w:hAnsi="Times New Roman" w:cs="Times New Roman"/>
          <w:b/>
          <w:bCs/>
          <w:i/>
          <w:iCs/>
          <w:sz w:val="20"/>
          <w:szCs w:val="20"/>
        </w:rPr>
        <w:t>brings large workload and ambiguous benefit</w:t>
      </w:r>
      <w:r w:rsidRPr="005F41A7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0E55A2CD" w14:textId="1D2C72AE" w:rsidR="001102D3" w:rsidRDefault="003E6C90" w:rsidP="003E6C90">
      <w:pPr>
        <w:tabs>
          <w:tab w:val="left" w:pos="7850"/>
        </w:tabs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D960FE">
        <w:rPr>
          <w:rFonts w:ascii="Times New Roman" w:hAnsi="Times New Roman" w:cs="Times New Roman"/>
          <w:b/>
          <w:bCs/>
          <w:i/>
          <w:iCs/>
          <w:sz w:val="20"/>
          <w:szCs w:val="20"/>
        </w:rPr>
        <w:t>4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 w:rsidR="00920EE2">
        <w:rPr>
          <w:rFonts w:ascii="Times New Roman" w:hAnsi="Times New Roman" w:cs="Times New Roman"/>
          <w:b/>
          <w:bCs/>
          <w:i/>
          <w:iCs/>
          <w:sz w:val="20"/>
          <w:szCs w:val="20"/>
        </w:rPr>
        <w:t>T</w:t>
      </w:r>
      <w:r w:rsidR="00920EE2" w:rsidRPr="00920EE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he work scope for </w:t>
      </w:r>
      <w:r w:rsidR="0031364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FR1 </w:t>
      </w:r>
      <w:r w:rsidR="00920EE2" w:rsidRPr="00920EE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NC CA should be limited to only study MPR applicability</w:t>
      </w:r>
      <w:r w:rsidR="00F52835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bookmarkEnd w:id="2"/>
    <w:bookmarkEnd w:id="3"/>
    <w:p w14:paraId="0A828198" w14:textId="38B25C6B" w:rsidR="00551563" w:rsidRPr="00381C4A" w:rsidRDefault="00584DBE" w:rsidP="00F42DCB">
      <w:pPr>
        <w:pStyle w:val="RAN4H1"/>
        <w:numPr>
          <w:ilvl w:val="0"/>
          <w:numId w:val="0"/>
        </w:numPr>
      </w:pPr>
      <w:r w:rsidRPr="00356605">
        <w:t>3</w:t>
      </w:r>
      <w:r w:rsidR="00F42DCB" w:rsidRPr="00356605">
        <w:t xml:space="preserve"> </w:t>
      </w:r>
      <w:r w:rsidR="0038131E" w:rsidRPr="00356605">
        <w:t>Conclusion</w:t>
      </w:r>
    </w:p>
    <w:p w14:paraId="4BB24F9A" w14:textId="586CD408" w:rsidR="00551563" w:rsidRDefault="00551563" w:rsidP="00DD17B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4E40">
        <w:rPr>
          <w:rFonts w:ascii="Times New Roman" w:hAnsi="Times New Roman" w:cs="Times New Roman"/>
          <w:sz w:val="20"/>
          <w:szCs w:val="20"/>
        </w:rPr>
        <w:t xml:space="preserve">In the </w:t>
      </w:r>
      <w:r w:rsidR="000F7CE0" w:rsidRPr="005A4E40">
        <w:rPr>
          <w:rFonts w:ascii="Times New Roman" w:hAnsi="Times New Roman" w:cs="Times New Roman"/>
          <w:sz w:val="20"/>
          <w:szCs w:val="20"/>
        </w:rPr>
        <w:t>document</w:t>
      </w:r>
      <w:r w:rsidRPr="005A4E40">
        <w:rPr>
          <w:rFonts w:ascii="Times New Roman" w:hAnsi="Times New Roman" w:cs="Times New Roman"/>
          <w:sz w:val="20"/>
          <w:szCs w:val="20"/>
        </w:rPr>
        <w:t>, the following</w:t>
      </w:r>
      <w:r w:rsidR="00096730" w:rsidRPr="005A4E40">
        <w:rPr>
          <w:rFonts w:ascii="Times New Roman" w:hAnsi="Times New Roman" w:cs="Times New Roman"/>
          <w:sz w:val="20"/>
          <w:szCs w:val="20"/>
        </w:rPr>
        <w:t xml:space="preserve"> Observations and Proposals are</w:t>
      </w:r>
      <w:r w:rsidRPr="005A4E40">
        <w:rPr>
          <w:rFonts w:ascii="Times New Roman" w:hAnsi="Times New Roman" w:cs="Times New Roman"/>
          <w:sz w:val="20"/>
          <w:szCs w:val="20"/>
        </w:rPr>
        <w:t xml:space="preserve"> made:</w:t>
      </w:r>
    </w:p>
    <w:p w14:paraId="2C665681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Observation 1: I</w:t>
      </w:r>
      <w:r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t is reasonable/justifiable to follow the MPR requirements of single CC operation, which is more stringent compared to intra-band contiguous UL CA MPR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6D116402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F369610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 2: I</w:t>
      </w:r>
      <w:r w:rsidRPr="001815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has been</w:t>
      </w:r>
      <w:r w:rsidRPr="001815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agreed that the single CC MPR requirements apply for NR FR2 intra-band contiguous UL CA with single CC with activated cell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7C27CF08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E3E6357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F</w:t>
      </w:r>
      <w:r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PC3/PC2 </w:t>
      </w:r>
      <w:r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intra-band contiguous carrier aggregation with single CC with activated cell, </w:t>
      </w:r>
      <w:r w:rsidRPr="00413AA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the single CC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MPR requirements</w:t>
      </w:r>
      <w:r w:rsidRPr="00413AA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can </w:t>
      </w:r>
      <w:r w:rsidRPr="00413AA6">
        <w:rPr>
          <w:rFonts w:ascii="Times New Roman" w:hAnsi="Times New Roman" w:cs="Times New Roman"/>
          <w:b/>
          <w:bCs/>
          <w:i/>
          <w:iCs/>
          <w:sz w:val="20"/>
          <w:szCs w:val="20"/>
        </w:rPr>
        <w:t>apply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5A75B6C7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70F1D6A4" w14:textId="6E9A47AB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2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I</w:t>
      </w:r>
      <w:r w:rsidRPr="00A5681C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ntegral region and boundary of spurious emissions/ACLR/SEM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should be</w:t>
      </w:r>
      <w:r w:rsidRPr="00A5681C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based on the activated CC CBW</w:t>
      </w:r>
      <w:r w:rsidRPr="00A5681C">
        <w:t xml:space="preserve"> </w:t>
      </w:r>
      <w:r w:rsidRPr="00A5681C">
        <w:rPr>
          <w:rFonts w:ascii="Times New Roman" w:hAnsi="Times New Roman" w:cs="Times New Roman"/>
          <w:b/>
          <w:bCs/>
          <w:i/>
          <w:iCs/>
          <w:sz w:val="20"/>
          <w:szCs w:val="20"/>
        </w:rPr>
        <w:t>instead of aggregated CBW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2FBC4E7A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0C3040F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3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F</w:t>
      </w:r>
      <w:r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PC3/PC2 </w:t>
      </w:r>
      <w:r w:rsidRPr="005E66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intra-band contiguous carrier aggregation with single CC with activated cell, </w:t>
      </w:r>
    </w:p>
    <w:p w14:paraId="147F96BB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834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MPR defined in Table 6.2.2-1 applies for UE power class 3 CA bandwidth classes B and C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;</w:t>
      </w:r>
    </w:p>
    <w:p w14:paraId="7DC65142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834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MPR defined in Table 6.2D.2-1 applies for power class 2 CA bandwidth classes B and C when TxD capability is indicated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;</w:t>
      </w:r>
    </w:p>
    <w:p w14:paraId="3C283C33" w14:textId="77777777" w:rsidR="00091B8C" w:rsidRDefault="00091B8C" w:rsidP="00091B8C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834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MPR defined in Table 6.2.2-2 applies for power class 2 CA bandwidth classes B and C when TxD capability is absent.</w:t>
      </w:r>
    </w:p>
    <w:p w14:paraId="38E561F0" w14:textId="77777777" w:rsidR="00091B8C" w:rsidRDefault="00091B8C" w:rsidP="00091B8C">
      <w:pPr>
        <w:tabs>
          <w:tab w:val="left" w:pos="7850"/>
        </w:tabs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 3: I</w:t>
      </w:r>
      <w:r w:rsidRPr="005F41A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n the WID, it is “Specify MPR applicability” instead of “Specify new MPR requirements/values” and “Specify new MPR requirements/values” </w:t>
      </w:r>
      <w:r w:rsidRPr="00AC32AB">
        <w:rPr>
          <w:rFonts w:ascii="Times New Roman" w:hAnsi="Times New Roman" w:cs="Times New Roman"/>
          <w:b/>
          <w:bCs/>
          <w:i/>
          <w:iCs/>
          <w:sz w:val="20"/>
          <w:szCs w:val="20"/>
        </w:rPr>
        <w:t>brings large workload and ambiguous benefit</w:t>
      </w:r>
      <w:r w:rsidRPr="005F41A7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52EB0DCD" w14:textId="77777777" w:rsidR="00091B8C" w:rsidRDefault="00091B8C" w:rsidP="00091B8C">
      <w:pPr>
        <w:tabs>
          <w:tab w:val="left" w:pos="7850"/>
        </w:tabs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4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T</w:t>
      </w:r>
      <w:r w:rsidRPr="00920EE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he work scope for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FR1 </w:t>
      </w:r>
      <w:r w:rsidRPr="00920EE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NC CA should be limited to only study MPR applicability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4ABD82AC" w14:textId="77777777" w:rsidR="00CB5CCD" w:rsidRPr="00CB5CCD" w:rsidRDefault="00CB5CCD" w:rsidP="00CB5CCD">
      <w:pPr>
        <w:tabs>
          <w:tab w:val="left" w:pos="7850"/>
        </w:tabs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3FC5FC3E" w14:textId="77777777" w:rsidR="00551563" w:rsidRPr="008C39F7" w:rsidRDefault="00551563" w:rsidP="00551563">
      <w:pPr>
        <w:pStyle w:val="RAN4H1"/>
        <w:numPr>
          <w:ilvl w:val="0"/>
          <w:numId w:val="0"/>
        </w:numPr>
        <w:ind w:left="360" w:hanging="360"/>
      </w:pPr>
      <w:bookmarkStart w:id="13" w:name="_Toc116995849"/>
      <w:r w:rsidRPr="008C39F7">
        <w:t>References</w:t>
      </w:r>
      <w:bookmarkEnd w:id="13"/>
    </w:p>
    <w:p w14:paraId="3D860659" w14:textId="0EFB2FE8" w:rsidR="00551563" w:rsidRDefault="000425AE" w:rsidP="000425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bookmarkStart w:id="14" w:name="_Ref114500673"/>
      <w:bookmarkEnd w:id="14"/>
      <w:r w:rsidRPr="000425AE">
        <w:rPr>
          <w:rFonts w:ascii="Times New Roman" w:hAnsi="Times New Roman" w:cs="Times New Roman"/>
          <w:sz w:val="20"/>
          <w:szCs w:val="20"/>
        </w:rPr>
        <w:t>R4-2410749, WF on power domain enhancements, Huawei.</w:t>
      </w:r>
    </w:p>
    <w:p w14:paraId="5569A189" w14:textId="1AAAA720" w:rsidR="00C1421D" w:rsidRPr="00097C94" w:rsidRDefault="00097C94" w:rsidP="00097C9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097C94">
        <w:rPr>
          <w:rFonts w:ascii="Times New Roman" w:hAnsi="Times New Roman" w:cs="Times New Roman"/>
          <w:sz w:val="20"/>
          <w:szCs w:val="20"/>
        </w:rPr>
        <w:t>R4-240759</w:t>
      </w:r>
      <w:r w:rsidR="003061C3">
        <w:rPr>
          <w:rFonts w:ascii="Times New Roman" w:hAnsi="Times New Roman" w:cs="Times New Roman"/>
          <w:sz w:val="20"/>
          <w:szCs w:val="20"/>
        </w:rPr>
        <w:t>1</w:t>
      </w:r>
      <w:r w:rsidRPr="00097C94">
        <w:rPr>
          <w:rFonts w:ascii="Times New Roman" w:hAnsi="Times New Roman" w:cs="Times New Roman"/>
          <w:sz w:val="20"/>
          <w:szCs w:val="20"/>
        </w:rPr>
        <w:t xml:space="preserve">, Discussion on </w:t>
      </w:r>
      <w:r w:rsidR="003061C3" w:rsidRPr="003061C3">
        <w:rPr>
          <w:rFonts w:ascii="Times New Roman" w:hAnsi="Times New Roman" w:cs="Times New Roman"/>
          <w:sz w:val="20"/>
          <w:szCs w:val="20"/>
        </w:rPr>
        <w:t>MPR reduction for FR1 intra-band UL CA</w:t>
      </w:r>
      <w:r w:rsidRPr="00097C94">
        <w:rPr>
          <w:rFonts w:ascii="Times New Roman" w:hAnsi="Times New Roman" w:cs="Times New Roman"/>
          <w:sz w:val="20"/>
          <w:szCs w:val="20"/>
        </w:rPr>
        <w:t>, Samsung.</w:t>
      </w:r>
    </w:p>
    <w:sectPr w:rsidR="00C1421D" w:rsidRPr="00097C94" w:rsidSect="00B72E8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A0670" w14:textId="77777777" w:rsidR="00F95295" w:rsidRDefault="00F95295" w:rsidP="00ED4008">
      <w:pPr>
        <w:spacing w:after="0" w:line="240" w:lineRule="auto"/>
      </w:pPr>
      <w:r>
        <w:separator/>
      </w:r>
    </w:p>
  </w:endnote>
  <w:endnote w:type="continuationSeparator" w:id="0">
    <w:p w14:paraId="5C1AC2FE" w14:textId="77777777" w:rsidR="00F95295" w:rsidRDefault="00F95295" w:rsidP="00ED4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6329C" w14:textId="77777777" w:rsidR="00F95295" w:rsidRDefault="00F95295" w:rsidP="00ED4008">
      <w:pPr>
        <w:spacing w:after="0" w:line="240" w:lineRule="auto"/>
      </w:pPr>
      <w:r>
        <w:separator/>
      </w:r>
    </w:p>
  </w:footnote>
  <w:footnote w:type="continuationSeparator" w:id="0">
    <w:p w14:paraId="2E524AF1" w14:textId="77777777" w:rsidR="00F95295" w:rsidRDefault="00F95295" w:rsidP="00ED4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93DCC"/>
    <w:multiLevelType w:val="hybridMultilevel"/>
    <w:tmpl w:val="A212F7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B1D0D"/>
    <w:multiLevelType w:val="hybridMultilevel"/>
    <w:tmpl w:val="5F1A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93F76"/>
    <w:multiLevelType w:val="hybridMultilevel"/>
    <w:tmpl w:val="5D26D8BA"/>
    <w:lvl w:ilvl="0" w:tplc="31C8173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E32B3"/>
    <w:multiLevelType w:val="hybridMultilevel"/>
    <w:tmpl w:val="6E50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E7F8B"/>
    <w:multiLevelType w:val="multilevel"/>
    <w:tmpl w:val="9AB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821143"/>
    <w:multiLevelType w:val="hybridMultilevel"/>
    <w:tmpl w:val="E73E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74C1E"/>
    <w:multiLevelType w:val="hybridMultilevel"/>
    <w:tmpl w:val="42D8CAA0"/>
    <w:lvl w:ilvl="0" w:tplc="A1F60AA8">
      <w:start w:val="3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8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E7060E"/>
    <w:multiLevelType w:val="hybridMultilevel"/>
    <w:tmpl w:val="F4923754"/>
    <w:lvl w:ilvl="0" w:tplc="3EE2E7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048B3"/>
    <w:multiLevelType w:val="hybridMultilevel"/>
    <w:tmpl w:val="8A9E6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13E7F"/>
    <w:multiLevelType w:val="hybridMultilevel"/>
    <w:tmpl w:val="93E0787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6364A1"/>
    <w:multiLevelType w:val="hybridMultilevel"/>
    <w:tmpl w:val="2B04C390"/>
    <w:lvl w:ilvl="0" w:tplc="CDA2670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B052F"/>
    <w:multiLevelType w:val="hybridMultilevel"/>
    <w:tmpl w:val="2C228EFE"/>
    <w:lvl w:ilvl="0" w:tplc="31C8173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hybridMultilevel"/>
    <w:tmpl w:val="54CC9548"/>
    <w:lvl w:ilvl="0" w:tplc="6BAAD81A">
      <w:start w:val="1"/>
      <w:numFmt w:val="decimal"/>
      <w:pStyle w:val="RAN4Observation"/>
      <w:suff w:val="space"/>
      <w:lvlText w:val="Observation %1:"/>
      <w:lvlJc w:val="left"/>
      <w:pPr>
        <w:ind w:left="1919" w:hanging="360"/>
      </w:pPr>
      <w:rPr>
        <w:rFonts w:ascii="Times New Roman" w:hAnsi="Times New Roman" w:cs="Times New Roman" w:hint="default"/>
        <w:b/>
        <w:i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5" w15:restartNumberingAfterBreak="0">
    <w:nsid w:val="4D6E3167"/>
    <w:multiLevelType w:val="hybridMultilevel"/>
    <w:tmpl w:val="5AD873E2"/>
    <w:lvl w:ilvl="0" w:tplc="1070ECE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/>
        <w:iCs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EC6BF3"/>
    <w:multiLevelType w:val="hybridMultilevel"/>
    <w:tmpl w:val="27FA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35B74BF"/>
    <w:multiLevelType w:val="hybridMultilevel"/>
    <w:tmpl w:val="F4923754"/>
    <w:lvl w:ilvl="0" w:tplc="3EE2E7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A6C2032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3GPPH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8F2694"/>
    <w:multiLevelType w:val="hybridMultilevel"/>
    <w:tmpl w:val="F4923754"/>
    <w:lvl w:ilvl="0" w:tplc="3EE2E7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22C15"/>
    <w:multiLevelType w:val="hybridMultilevel"/>
    <w:tmpl w:val="AA7253DA"/>
    <w:lvl w:ilvl="0" w:tplc="2D72D6C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C47605"/>
    <w:multiLevelType w:val="hybridMultilevel"/>
    <w:tmpl w:val="A96C0E74"/>
    <w:lvl w:ilvl="0" w:tplc="FD2AE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73B33"/>
    <w:multiLevelType w:val="hybridMultilevel"/>
    <w:tmpl w:val="809C7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F6E91"/>
    <w:multiLevelType w:val="hybridMultilevel"/>
    <w:tmpl w:val="1102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11"/>
  </w:num>
  <w:num w:numId="5">
    <w:abstractNumId w:val="20"/>
  </w:num>
  <w:num w:numId="6">
    <w:abstractNumId w:val="10"/>
  </w:num>
  <w:num w:numId="7">
    <w:abstractNumId w:val="1"/>
  </w:num>
  <w:num w:numId="8">
    <w:abstractNumId w:val="14"/>
  </w:num>
  <w:num w:numId="9">
    <w:abstractNumId w:val="15"/>
  </w:num>
  <w:num w:numId="10">
    <w:abstractNumId w:val="16"/>
  </w:num>
  <w:num w:numId="11">
    <w:abstractNumId w:val="5"/>
  </w:num>
  <w:num w:numId="12">
    <w:abstractNumId w:val="17"/>
  </w:num>
  <w:num w:numId="13">
    <w:abstractNumId w:val="6"/>
  </w:num>
  <w:num w:numId="14">
    <w:abstractNumId w:val="2"/>
  </w:num>
  <w:num w:numId="15">
    <w:abstractNumId w:val="4"/>
  </w:num>
  <w:num w:numId="16">
    <w:abstractNumId w:val="25"/>
  </w:num>
  <w:num w:numId="17">
    <w:abstractNumId w:val="24"/>
  </w:num>
  <w:num w:numId="18">
    <w:abstractNumId w:val="19"/>
  </w:num>
  <w:num w:numId="19">
    <w:abstractNumId w:val="9"/>
  </w:num>
  <w:num w:numId="20">
    <w:abstractNumId w:val="21"/>
  </w:num>
  <w:num w:numId="21">
    <w:abstractNumId w:val="23"/>
  </w:num>
  <w:num w:numId="22">
    <w:abstractNumId w:val="15"/>
    <w:lvlOverride w:ilvl="0">
      <w:startOverride w:val="1"/>
    </w:lvlOverride>
  </w:num>
  <w:num w:numId="23">
    <w:abstractNumId w:val="0"/>
  </w:num>
  <w:num w:numId="24">
    <w:abstractNumId w:val="7"/>
  </w:num>
  <w:num w:numId="25">
    <w:abstractNumId w:val="22"/>
  </w:num>
  <w:num w:numId="26">
    <w:abstractNumId w:val="1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8E5"/>
    <w:rsid w:val="00001E6D"/>
    <w:rsid w:val="00005A09"/>
    <w:rsid w:val="00005C22"/>
    <w:rsid w:val="000109D1"/>
    <w:rsid w:val="00011711"/>
    <w:rsid w:val="000129D0"/>
    <w:rsid w:val="00012FB6"/>
    <w:rsid w:val="000134CA"/>
    <w:rsid w:val="00013557"/>
    <w:rsid w:val="00013C49"/>
    <w:rsid w:val="00014F25"/>
    <w:rsid w:val="00016BA5"/>
    <w:rsid w:val="000175A1"/>
    <w:rsid w:val="0002188B"/>
    <w:rsid w:val="0002355D"/>
    <w:rsid w:val="000247C7"/>
    <w:rsid w:val="00026A92"/>
    <w:rsid w:val="0003081D"/>
    <w:rsid w:val="00030BF8"/>
    <w:rsid w:val="0003160C"/>
    <w:rsid w:val="00033165"/>
    <w:rsid w:val="000367D4"/>
    <w:rsid w:val="0003718F"/>
    <w:rsid w:val="00041F1A"/>
    <w:rsid w:val="000423B8"/>
    <w:rsid w:val="000425AE"/>
    <w:rsid w:val="000463C4"/>
    <w:rsid w:val="000475F0"/>
    <w:rsid w:val="00047E33"/>
    <w:rsid w:val="00047F1F"/>
    <w:rsid w:val="00053132"/>
    <w:rsid w:val="00056458"/>
    <w:rsid w:val="00057E12"/>
    <w:rsid w:val="000601DC"/>
    <w:rsid w:val="00062480"/>
    <w:rsid w:val="0006294E"/>
    <w:rsid w:val="00062B66"/>
    <w:rsid w:val="00063CF9"/>
    <w:rsid w:val="00063ECC"/>
    <w:rsid w:val="00072324"/>
    <w:rsid w:val="00074C04"/>
    <w:rsid w:val="000818B6"/>
    <w:rsid w:val="000838A6"/>
    <w:rsid w:val="000841C9"/>
    <w:rsid w:val="000871C8"/>
    <w:rsid w:val="000878FB"/>
    <w:rsid w:val="00087B6F"/>
    <w:rsid w:val="00091B8C"/>
    <w:rsid w:val="00096730"/>
    <w:rsid w:val="0009733D"/>
    <w:rsid w:val="00097C94"/>
    <w:rsid w:val="000A0756"/>
    <w:rsid w:val="000A3EF4"/>
    <w:rsid w:val="000A49FC"/>
    <w:rsid w:val="000A5252"/>
    <w:rsid w:val="000A7A3D"/>
    <w:rsid w:val="000B1346"/>
    <w:rsid w:val="000B17AF"/>
    <w:rsid w:val="000B2664"/>
    <w:rsid w:val="000B277B"/>
    <w:rsid w:val="000B5F3B"/>
    <w:rsid w:val="000B6091"/>
    <w:rsid w:val="000B6AC9"/>
    <w:rsid w:val="000C09F8"/>
    <w:rsid w:val="000C2B1F"/>
    <w:rsid w:val="000C3213"/>
    <w:rsid w:val="000C4BCE"/>
    <w:rsid w:val="000C57E8"/>
    <w:rsid w:val="000C5CEB"/>
    <w:rsid w:val="000C6AE5"/>
    <w:rsid w:val="000D08F3"/>
    <w:rsid w:val="000D0A07"/>
    <w:rsid w:val="000D2BA4"/>
    <w:rsid w:val="000D7754"/>
    <w:rsid w:val="000D7FD9"/>
    <w:rsid w:val="000E058D"/>
    <w:rsid w:val="000E07F9"/>
    <w:rsid w:val="000E0876"/>
    <w:rsid w:val="000E2985"/>
    <w:rsid w:val="000E30B9"/>
    <w:rsid w:val="000E4D44"/>
    <w:rsid w:val="000E6324"/>
    <w:rsid w:val="000F0BCF"/>
    <w:rsid w:val="000F185E"/>
    <w:rsid w:val="000F242C"/>
    <w:rsid w:val="000F3045"/>
    <w:rsid w:val="000F3ADA"/>
    <w:rsid w:val="000F78B4"/>
    <w:rsid w:val="000F7ACA"/>
    <w:rsid w:val="000F7CE0"/>
    <w:rsid w:val="00102B49"/>
    <w:rsid w:val="001102D3"/>
    <w:rsid w:val="00111086"/>
    <w:rsid w:val="00111E5C"/>
    <w:rsid w:val="00114BC9"/>
    <w:rsid w:val="0011543F"/>
    <w:rsid w:val="00115FB9"/>
    <w:rsid w:val="00117784"/>
    <w:rsid w:val="00120E56"/>
    <w:rsid w:val="00121E2F"/>
    <w:rsid w:val="001230F4"/>
    <w:rsid w:val="00124749"/>
    <w:rsid w:val="0013067C"/>
    <w:rsid w:val="00131806"/>
    <w:rsid w:val="00132A53"/>
    <w:rsid w:val="00132B8A"/>
    <w:rsid w:val="0013404C"/>
    <w:rsid w:val="00134983"/>
    <w:rsid w:val="00134EB5"/>
    <w:rsid w:val="00136FB6"/>
    <w:rsid w:val="00140013"/>
    <w:rsid w:val="0014199E"/>
    <w:rsid w:val="001429C8"/>
    <w:rsid w:val="00144258"/>
    <w:rsid w:val="0014429C"/>
    <w:rsid w:val="00144B49"/>
    <w:rsid w:val="00144BA7"/>
    <w:rsid w:val="00144F72"/>
    <w:rsid w:val="00146E5A"/>
    <w:rsid w:val="0015258A"/>
    <w:rsid w:val="001526CC"/>
    <w:rsid w:val="00153600"/>
    <w:rsid w:val="00154B37"/>
    <w:rsid w:val="00155B99"/>
    <w:rsid w:val="00155D8B"/>
    <w:rsid w:val="00160968"/>
    <w:rsid w:val="001630E2"/>
    <w:rsid w:val="0017071B"/>
    <w:rsid w:val="001718C0"/>
    <w:rsid w:val="00174A0A"/>
    <w:rsid w:val="001815A2"/>
    <w:rsid w:val="0018414E"/>
    <w:rsid w:val="001845F2"/>
    <w:rsid w:val="00185663"/>
    <w:rsid w:val="00186F55"/>
    <w:rsid w:val="00187081"/>
    <w:rsid w:val="00190227"/>
    <w:rsid w:val="0019208F"/>
    <w:rsid w:val="0019411D"/>
    <w:rsid w:val="001A0EF8"/>
    <w:rsid w:val="001A48CE"/>
    <w:rsid w:val="001A6FB5"/>
    <w:rsid w:val="001B1624"/>
    <w:rsid w:val="001B3FD2"/>
    <w:rsid w:val="001B44BE"/>
    <w:rsid w:val="001B4707"/>
    <w:rsid w:val="001B74CD"/>
    <w:rsid w:val="001B7A28"/>
    <w:rsid w:val="001C0E9A"/>
    <w:rsid w:val="001C2969"/>
    <w:rsid w:val="001C3283"/>
    <w:rsid w:val="001C3F9D"/>
    <w:rsid w:val="001C4B5C"/>
    <w:rsid w:val="001C7114"/>
    <w:rsid w:val="001D0FDE"/>
    <w:rsid w:val="001D1107"/>
    <w:rsid w:val="001D1D3B"/>
    <w:rsid w:val="001D3898"/>
    <w:rsid w:val="001D3A29"/>
    <w:rsid w:val="001D47DD"/>
    <w:rsid w:val="001D53E4"/>
    <w:rsid w:val="001D599A"/>
    <w:rsid w:val="001D7A68"/>
    <w:rsid w:val="001E0CCB"/>
    <w:rsid w:val="001E1438"/>
    <w:rsid w:val="001E6009"/>
    <w:rsid w:val="001E6C8B"/>
    <w:rsid w:val="001F0962"/>
    <w:rsid w:val="001F315D"/>
    <w:rsid w:val="001F517D"/>
    <w:rsid w:val="001F5C37"/>
    <w:rsid w:val="001F7647"/>
    <w:rsid w:val="002017CE"/>
    <w:rsid w:val="00207E30"/>
    <w:rsid w:val="00210F8C"/>
    <w:rsid w:val="002124CE"/>
    <w:rsid w:val="00213B23"/>
    <w:rsid w:val="00214636"/>
    <w:rsid w:val="00217112"/>
    <w:rsid w:val="00217EB1"/>
    <w:rsid w:val="00220AC2"/>
    <w:rsid w:val="00223D31"/>
    <w:rsid w:val="00224928"/>
    <w:rsid w:val="0023227C"/>
    <w:rsid w:val="002325F3"/>
    <w:rsid w:val="00233BF5"/>
    <w:rsid w:val="00235C60"/>
    <w:rsid w:val="0023605C"/>
    <w:rsid w:val="00237F16"/>
    <w:rsid w:val="00240905"/>
    <w:rsid w:val="00242744"/>
    <w:rsid w:val="002452D4"/>
    <w:rsid w:val="00246751"/>
    <w:rsid w:val="00246BB1"/>
    <w:rsid w:val="002471BD"/>
    <w:rsid w:val="00250DB0"/>
    <w:rsid w:val="002514AF"/>
    <w:rsid w:val="00251BF0"/>
    <w:rsid w:val="002537D3"/>
    <w:rsid w:val="002538E1"/>
    <w:rsid w:val="00255266"/>
    <w:rsid w:val="002558C5"/>
    <w:rsid w:val="00256CDF"/>
    <w:rsid w:val="00257803"/>
    <w:rsid w:val="00260E53"/>
    <w:rsid w:val="00263F36"/>
    <w:rsid w:val="002663A1"/>
    <w:rsid w:val="00266D16"/>
    <w:rsid w:val="00266FE8"/>
    <w:rsid w:val="0027023F"/>
    <w:rsid w:val="002726B9"/>
    <w:rsid w:val="002743AC"/>
    <w:rsid w:val="00275094"/>
    <w:rsid w:val="0027547F"/>
    <w:rsid w:val="00280D51"/>
    <w:rsid w:val="00281612"/>
    <w:rsid w:val="00282A69"/>
    <w:rsid w:val="0028318F"/>
    <w:rsid w:val="002834C4"/>
    <w:rsid w:val="00283711"/>
    <w:rsid w:val="00284500"/>
    <w:rsid w:val="00284CCF"/>
    <w:rsid w:val="00284D72"/>
    <w:rsid w:val="002864C2"/>
    <w:rsid w:val="002872DF"/>
    <w:rsid w:val="0029768D"/>
    <w:rsid w:val="00297778"/>
    <w:rsid w:val="00297D55"/>
    <w:rsid w:val="002A046A"/>
    <w:rsid w:val="002A0645"/>
    <w:rsid w:val="002A39F1"/>
    <w:rsid w:val="002A49B7"/>
    <w:rsid w:val="002A5930"/>
    <w:rsid w:val="002A6DE4"/>
    <w:rsid w:val="002A71DE"/>
    <w:rsid w:val="002B2429"/>
    <w:rsid w:val="002B4F9B"/>
    <w:rsid w:val="002B585D"/>
    <w:rsid w:val="002B5A1A"/>
    <w:rsid w:val="002B5B49"/>
    <w:rsid w:val="002B5C0C"/>
    <w:rsid w:val="002B77DB"/>
    <w:rsid w:val="002C02CA"/>
    <w:rsid w:val="002C2EEA"/>
    <w:rsid w:val="002C5542"/>
    <w:rsid w:val="002C5B0F"/>
    <w:rsid w:val="002C634C"/>
    <w:rsid w:val="002C7676"/>
    <w:rsid w:val="002C7FD9"/>
    <w:rsid w:val="002D10ED"/>
    <w:rsid w:val="002D1D23"/>
    <w:rsid w:val="002D657B"/>
    <w:rsid w:val="002D79EE"/>
    <w:rsid w:val="002E1133"/>
    <w:rsid w:val="002E1A1A"/>
    <w:rsid w:val="002E3461"/>
    <w:rsid w:val="002E5EE3"/>
    <w:rsid w:val="002E661D"/>
    <w:rsid w:val="002F019F"/>
    <w:rsid w:val="002F01E6"/>
    <w:rsid w:val="002F04F3"/>
    <w:rsid w:val="002F3CC1"/>
    <w:rsid w:val="002F4A1B"/>
    <w:rsid w:val="002F4EF4"/>
    <w:rsid w:val="002F669E"/>
    <w:rsid w:val="002F78EA"/>
    <w:rsid w:val="00302F58"/>
    <w:rsid w:val="00305A3B"/>
    <w:rsid w:val="003061C3"/>
    <w:rsid w:val="00306E86"/>
    <w:rsid w:val="00307008"/>
    <w:rsid w:val="003102A6"/>
    <w:rsid w:val="00311F7B"/>
    <w:rsid w:val="00312739"/>
    <w:rsid w:val="00313643"/>
    <w:rsid w:val="00313A89"/>
    <w:rsid w:val="00316F95"/>
    <w:rsid w:val="00321EDE"/>
    <w:rsid w:val="00322542"/>
    <w:rsid w:val="0032276C"/>
    <w:rsid w:val="003231F4"/>
    <w:rsid w:val="00325485"/>
    <w:rsid w:val="00325FAD"/>
    <w:rsid w:val="00326769"/>
    <w:rsid w:val="0033046F"/>
    <w:rsid w:val="0033048E"/>
    <w:rsid w:val="00331C9E"/>
    <w:rsid w:val="00332314"/>
    <w:rsid w:val="0033376A"/>
    <w:rsid w:val="003346CD"/>
    <w:rsid w:val="00334A25"/>
    <w:rsid w:val="00334C47"/>
    <w:rsid w:val="00336A24"/>
    <w:rsid w:val="00337BAC"/>
    <w:rsid w:val="00342502"/>
    <w:rsid w:val="00344038"/>
    <w:rsid w:val="00344C02"/>
    <w:rsid w:val="00346F9D"/>
    <w:rsid w:val="00347539"/>
    <w:rsid w:val="0035169E"/>
    <w:rsid w:val="003524FA"/>
    <w:rsid w:val="003550B3"/>
    <w:rsid w:val="003550B8"/>
    <w:rsid w:val="00355E80"/>
    <w:rsid w:val="00356605"/>
    <w:rsid w:val="003575DD"/>
    <w:rsid w:val="00360A7F"/>
    <w:rsid w:val="00362672"/>
    <w:rsid w:val="00365EF5"/>
    <w:rsid w:val="003664D1"/>
    <w:rsid w:val="00366FE5"/>
    <w:rsid w:val="00372346"/>
    <w:rsid w:val="0037482F"/>
    <w:rsid w:val="00375E7C"/>
    <w:rsid w:val="0037724A"/>
    <w:rsid w:val="00377B29"/>
    <w:rsid w:val="00381118"/>
    <w:rsid w:val="0038131E"/>
    <w:rsid w:val="00381C4A"/>
    <w:rsid w:val="00382202"/>
    <w:rsid w:val="00382D37"/>
    <w:rsid w:val="0038524E"/>
    <w:rsid w:val="00385F7C"/>
    <w:rsid w:val="003954A2"/>
    <w:rsid w:val="00396705"/>
    <w:rsid w:val="00396D63"/>
    <w:rsid w:val="00397A42"/>
    <w:rsid w:val="003A0135"/>
    <w:rsid w:val="003A27EA"/>
    <w:rsid w:val="003A5195"/>
    <w:rsid w:val="003A571F"/>
    <w:rsid w:val="003A60FD"/>
    <w:rsid w:val="003A6376"/>
    <w:rsid w:val="003B03BB"/>
    <w:rsid w:val="003B0CFB"/>
    <w:rsid w:val="003B1541"/>
    <w:rsid w:val="003B1A76"/>
    <w:rsid w:val="003B4B19"/>
    <w:rsid w:val="003B543A"/>
    <w:rsid w:val="003B6746"/>
    <w:rsid w:val="003C072F"/>
    <w:rsid w:val="003C0E67"/>
    <w:rsid w:val="003C271C"/>
    <w:rsid w:val="003C59CF"/>
    <w:rsid w:val="003C7993"/>
    <w:rsid w:val="003D3174"/>
    <w:rsid w:val="003D3C1B"/>
    <w:rsid w:val="003D4414"/>
    <w:rsid w:val="003D6985"/>
    <w:rsid w:val="003E0627"/>
    <w:rsid w:val="003E24AB"/>
    <w:rsid w:val="003E24F2"/>
    <w:rsid w:val="003E54ED"/>
    <w:rsid w:val="003E6C90"/>
    <w:rsid w:val="003F0240"/>
    <w:rsid w:val="003F0BDA"/>
    <w:rsid w:val="003F266E"/>
    <w:rsid w:val="003F36D2"/>
    <w:rsid w:val="003F4387"/>
    <w:rsid w:val="003F5978"/>
    <w:rsid w:val="003F71D9"/>
    <w:rsid w:val="003F7F90"/>
    <w:rsid w:val="00402394"/>
    <w:rsid w:val="00403DCA"/>
    <w:rsid w:val="00403F08"/>
    <w:rsid w:val="00405D50"/>
    <w:rsid w:val="00407282"/>
    <w:rsid w:val="004118D2"/>
    <w:rsid w:val="00413AA6"/>
    <w:rsid w:val="0041564F"/>
    <w:rsid w:val="00417AC8"/>
    <w:rsid w:val="0042558F"/>
    <w:rsid w:val="0042635F"/>
    <w:rsid w:val="00426E96"/>
    <w:rsid w:val="00427415"/>
    <w:rsid w:val="00427638"/>
    <w:rsid w:val="00427F22"/>
    <w:rsid w:val="004301EE"/>
    <w:rsid w:val="0043196E"/>
    <w:rsid w:val="00432B4A"/>
    <w:rsid w:val="00433C99"/>
    <w:rsid w:val="00435E24"/>
    <w:rsid w:val="00435ED8"/>
    <w:rsid w:val="0043619E"/>
    <w:rsid w:val="004365F6"/>
    <w:rsid w:val="00437497"/>
    <w:rsid w:val="004418C8"/>
    <w:rsid w:val="00441BA1"/>
    <w:rsid w:val="00443B4D"/>
    <w:rsid w:val="00443CE9"/>
    <w:rsid w:val="00444DF7"/>
    <w:rsid w:val="00445BC7"/>
    <w:rsid w:val="00445E83"/>
    <w:rsid w:val="00447928"/>
    <w:rsid w:val="004501FD"/>
    <w:rsid w:val="00451342"/>
    <w:rsid w:val="00452023"/>
    <w:rsid w:val="00452641"/>
    <w:rsid w:val="00452F3B"/>
    <w:rsid w:val="00453999"/>
    <w:rsid w:val="004541F1"/>
    <w:rsid w:val="004578BC"/>
    <w:rsid w:val="004578D3"/>
    <w:rsid w:val="00457991"/>
    <w:rsid w:val="00460A46"/>
    <w:rsid w:val="00460F53"/>
    <w:rsid w:val="00461817"/>
    <w:rsid w:val="004643D0"/>
    <w:rsid w:val="00470D1F"/>
    <w:rsid w:val="00470F57"/>
    <w:rsid w:val="00471EFE"/>
    <w:rsid w:val="00472F9D"/>
    <w:rsid w:val="00475059"/>
    <w:rsid w:val="00477866"/>
    <w:rsid w:val="004844EE"/>
    <w:rsid w:val="00484517"/>
    <w:rsid w:val="00485C7B"/>
    <w:rsid w:val="004876ED"/>
    <w:rsid w:val="00491C61"/>
    <w:rsid w:val="00493866"/>
    <w:rsid w:val="00494014"/>
    <w:rsid w:val="00496A9C"/>
    <w:rsid w:val="004979C0"/>
    <w:rsid w:val="004A0580"/>
    <w:rsid w:val="004A1307"/>
    <w:rsid w:val="004A2AF1"/>
    <w:rsid w:val="004A3DB9"/>
    <w:rsid w:val="004A3E43"/>
    <w:rsid w:val="004A560D"/>
    <w:rsid w:val="004A5913"/>
    <w:rsid w:val="004B16CC"/>
    <w:rsid w:val="004B438D"/>
    <w:rsid w:val="004C30C9"/>
    <w:rsid w:val="004C5A6E"/>
    <w:rsid w:val="004C77F3"/>
    <w:rsid w:val="004D3E66"/>
    <w:rsid w:val="004D6562"/>
    <w:rsid w:val="004D67E7"/>
    <w:rsid w:val="004D7792"/>
    <w:rsid w:val="004E369B"/>
    <w:rsid w:val="004E3F1D"/>
    <w:rsid w:val="004E57C3"/>
    <w:rsid w:val="004E5ED3"/>
    <w:rsid w:val="004F10AF"/>
    <w:rsid w:val="004F3F65"/>
    <w:rsid w:val="004F532D"/>
    <w:rsid w:val="004F6635"/>
    <w:rsid w:val="004F72A0"/>
    <w:rsid w:val="00500546"/>
    <w:rsid w:val="0050301B"/>
    <w:rsid w:val="00503E62"/>
    <w:rsid w:val="0050448D"/>
    <w:rsid w:val="00506442"/>
    <w:rsid w:val="00510E98"/>
    <w:rsid w:val="00512E18"/>
    <w:rsid w:val="00512E9D"/>
    <w:rsid w:val="00514E6D"/>
    <w:rsid w:val="00516A8B"/>
    <w:rsid w:val="00516D39"/>
    <w:rsid w:val="00520B32"/>
    <w:rsid w:val="0052133D"/>
    <w:rsid w:val="005254DB"/>
    <w:rsid w:val="0052785F"/>
    <w:rsid w:val="00527B69"/>
    <w:rsid w:val="00531A88"/>
    <w:rsid w:val="00532FC1"/>
    <w:rsid w:val="00532FC5"/>
    <w:rsid w:val="005400DC"/>
    <w:rsid w:val="00541F08"/>
    <w:rsid w:val="0054344A"/>
    <w:rsid w:val="00544E64"/>
    <w:rsid w:val="005471C2"/>
    <w:rsid w:val="00547354"/>
    <w:rsid w:val="005475AF"/>
    <w:rsid w:val="005478EC"/>
    <w:rsid w:val="00550056"/>
    <w:rsid w:val="00551563"/>
    <w:rsid w:val="0055556C"/>
    <w:rsid w:val="005569FB"/>
    <w:rsid w:val="0056435E"/>
    <w:rsid w:val="0056586B"/>
    <w:rsid w:val="00567A58"/>
    <w:rsid w:val="00570D05"/>
    <w:rsid w:val="00575BAA"/>
    <w:rsid w:val="00577140"/>
    <w:rsid w:val="00577A37"/>
    <w:rsid w:val="00581BF7"/>
    <w:rsid w:val="005836CA"/>
    <w:rsid w:val="00584DBE"/>
    <w:rsid w:val="005860C7"/>
    <w:rsid w:val="00590E68"/>
    <w:rsid w:val="00596096"/>
    <w:rsid w:val="005966BD"/>
    <w:rsid w:val="00597395"/>
    <w:rsid w:val="00597676"/>
    <w:rsid w:val="005A068E"/>
    <w:rsid w:val="005A0FB5"/>
    <w:rsid w:val="005A2CD2"/>
    <w:rsid w:val="005A3069"/>
    <w:rsid w:val="005A3AB4"/>
    <w:rsid w:val="005A3E18"/>
    <w:rsid w:val="005A4E40"/>
    <w:rsid w:val="005A7196"/>
    <w:rsid w:val="005A7BAE"/>
    <w:rsid w:val="005B319B"/>
    <w:rsid w:val="005B3C01"/>
    <w:rsid w:val="005B64E0"/>
    <w:rsid w:val="005B691F"/>
    <w:rsid w:val="005B6CD7"/>
    <w:rsid w:val="005C022A"/>
    <w:rsid w:val="005C0701"/>
    <w:rsid w:val="005C6E57"/>
    <w:rsid w:val="005C6FC1"/>
    <w:rsid w:val="005D0047"/>
    <w:rsid w:val="005D110E"/>
    <w:rsid w:val="005D1F58"/>
    <w:rsid w:val="005D3524"/>
    <w:rsid w:val="005D3591"/>
    <w:rsid w:val="005E0299"/>
    <w:rsid w:val="005E0642"/>
    <w:rsid w:val="005E0EB8"/>
    <w:rsid w:val="005E2F5E"/>
    <w:rsid w:val="005E66A2"/>
    <w:rsid w:val="005E6B03"/>
    <w:rsid w:val="005F033A"/>
    <w:rsid w:val="005F1A34"/>
    <w:rsid w:val="005F2ED1"/>
    <w:rsid w:val="005F3193"/>
    <w:rsid w:val="005F3FCA"/>
    <w:rsid w:val="005F405B"/>
    <w:rsid w:val="005F41A7"/>
    <w:rsid w:val="005F5AF6"/>
    <w:rsid w:val="005F6242"/>
    <w:rsid w:val="005F66E9"/>
    <w:rsid w:val="00601198"/>
    <w:rsid w:val="0060151C"/>
    <w:rsid w:val="00602872"/>
    <w:rsid w:val="006122B8"/>
    <w:rsid w:val="0061518B"/>
    <w:rsid w:val="00615D60"/>
    <w:rsid w:val="00620B42"/>
    <w:rsid w:val="00623C1F"/>
    <w:rsid w:val="006248DB"/>
    <w:rsid w:val="006308BA"/>
    <w:rsid w:val="00631079"/>
    <w:rsid w:val="00632BFF"/>
    <w:rsid w:val="00647961"/>
    <w:rsid w:val="006523C0"/>
    <w:rsid w:val="00654B57"/>
    <w:rsid w:val="006554E1"/>
    <w:rsid w:val="00655655"/>
    <w:rsid w:val="00660D54"/>
    <w:rsid w:val="00663320"/>
    <w:rsid w:val="00665CCC"/>
    <w:rsid w:val="00666543"/>
    <w:rsid w:val="00673D79"/>
    <w:rsid w:val="006760F0"/>
    <w:rsid w:val="006766E5"/>
    <w:rsid w:val="00677684"/>
    <w:rsid w:val="00682170"/>
    <w:rsid w:val="0068227A"/>
    <w:rsid w:val="0068378A"/>
    <w:rsid w:val="00683BF1"/>
    <w:rsid w:val="006879E1"/>
    <w:rsid w:val="00687A4E"/>
    <w:rsid w:val="006926E8"/>
    <w:rsid w:val="006931B5"/>
    <w:rsid w:val="00695EFD"/>
    <w:rsid w:val="006A11A3"/>
    <w:rsid w:val="006A2FF1"/>
    <w:rsid w:val="006A359C"/>
    <w:rsid w:val="006A5C15"/>
    <w:rsid w:val="006A5C20"/>
    <w:rsid w:val="006A6D3E"/>
    <w:rsid w:val="006B1125"/>
    <w:rsid w:val="006B29B2"/>
    <w:rsid w:val="006B45DB"/>
    <w:rsid w:val="006B467B"/>
    <w:rsid w:val="006B7929"/>
    <w:rsid w:val="006B79C6"/>
    <w:rsid w:val="006C2B29"/>
    <w:rsid w:val="006C2CE2"/>
    <w:rsid w:val="006C5609"/>
    <w:rsid w:val="006C5C90"/>
    <w:rsid w:val="006C62A5"/>
    <w:rsid w:val="006C6FDE"/>
    <w:rsid w:val="006C7A4B"/>
    <w:rsid w:val="006C7B52"/>
    <w:rsid w:val="006C7EB5"/>
    <w:rsid w:val="006D262F"/>
    <w:rsid w:val="006D2A31"/>
    <w:rsid w:val="006D37D2"/>
    <w:rsid w:val="006D5115"/>
    <w:rsid w:val="006E1FB9"/>
    <w:rsid w:val="006E36D0"/>
    <w:rsid w:val="006E4641"/>
    <w:rsid w:val="006E477E"/>
    <w:rsid w:val="006E4E8F"/>
    <w:rsid w:val="006F0151"/>
    <w:rsid w:val="006F153C"/>
    <w:rsid w:val="006F1779"/>
    <w:rsid w:val="006F32BC"/>
    <w:rsid w:val="006F6AF2"/>
    <w:rsid w:val="006F6C5F"/>
    <w:rsid w:val="00700146"/>
    <w:rsid w:val="00701264"/>
    <w:rsid w:val="007015C4"/>
    <w:rsid w:val="00702167"/>
    <w:rsid w:val="00706879"/>
    <w:rsid w:val="007069A1"/>
    <w:rsid w:val="0071068D"/>
    <w:rsid w:val="00710B7A"/>
    <w:rsid w:val="00711C36"/>
    <w:rsid w:val="00713E46"/>
    <w:rsid w:val="00713F65"/>
    <w:rsid w:val="007160E1"/>
    <w:rsid w:val="0072094F"/>
    <w:rsid w:val="00721D98"/>
    <w:rsid w:val="00725516"/>
    <w:rsid w:val="00726019"/>
    <w:rsid w:val="00726605"/>
    <w:rsid w:val="007272A6"/>
    <w:rsid w:val="007277EE"/>
    <w:rsid w:val="007304DD"/>
    <w:rsid w:val="007327CD"/>
    <w:rsid w:val="00734516"/>
    <w:rsid w:val="00734723"/>
    <w:rsid w:val="00734AE6"/>
    <w:rsid w:val="00734CF6"/>
    <w:rsid w:val="00736AE1"/>
    <w:rsid w:val="00736C67"/>
    <w:rsid w:val="00737501"/>
    <w:rsid w:val="007400DF"/>
    <w:rsid w:val="007403F2"/>
    <w:rsid w:val="007416D8"/>
    <w:rsid w:val="00744186"/>
    <w:rsid w:val="00744E5A"/>
    <w:rsid w:val="00745008"/>
    <w:rsid w:val="0074525A"/>
    <w:rsid w:val="0074596E"/>
    <w:rsid w:val="00746787"/>
    <w:rsid w:val="00747E8A"/>
    <w:rsid w:val="00751D29"/>
    <w:rsid w:val="007576F4"/>
    <w:rsid w:val="007577E7"/>
    <w:rsid w:val="00760578"/>
    <w:rsid w:val="00761AFE"/>
    <w:rsid w:val="0076200C"/>
    <w:rsid w:val="00765B72"/>
    <w:rsid w:val="00765E1B"/>
    <w:rsid w:val="007667A6"/>
    <w:rsid w:val="007710B0"/>
    <w:rsid w:val="007723E7"/>
    <w:rsid w:val="0077341F"/>
    <w:rsid w:val="00774640"/>
    <w:rsid w:val="00775365"/>
    <w:rsid w:val="007757E6"/>
    <w:rsid w:val="00775814"/>
    <w:rsid w:val="007759BC"/>
    <w:rsid w:val="0078165A"/>
    <w:rsid w:val="007834B3"/>
    <w:rsid w:val="00792C93"/>
    <w:rsid w:val="00795C7C"/>
    <w:rsid w:val="00795E07"/>
    <w:rsid w:val="007972C2"/>
    <w:rsid w:val="00797D42"/>
    <w:rsid w:val="007A03BA"/>
    <w:rsid w:val="007A10FC"/>
    <w:rsid w:val="007A183C"/>
    <w:rsid w:val="007A41AE"/>
    <w:rsid w:val="007A5AE6"/>
    <w:rsid w:val="007A65BD"/>
    <w:rsid w:val="007A6F5E"/>
    <w:rsid w:val="007A71BF"/>
    <w:rsid w:val="007A7A73"/>
    <w:rsid w:val="007A7BA8"/>
    <w:rsid w:val="007B197C"/>
    <w:rsid w:val="007B1CE0"/>
    <w:rsid w:val="007B1F30"/>
    <w:rsid w:val="007B37CD"/>
    <w:rsid w:val="007B56D0"/>
    <w:rsid w:val="007B75A3"/>
    <w:rsid w:val="007B7FA8"/>
    <w:rsid w:val="007C12EF"/>
    <w:rsid w:val="007C299A"/>
    <w:rsid w:val="007C3A2B"/>
    <w:rsid w:val="007C4C52"/>
    <w:rsid w:val="007C5198"/>
    <w:rsid w:val="007D1A97"/>
    <w:rsid w:val="007D1C59"/>
    <w:rsid w:val="007D3B7F"/>
    <w:rsid w:val="007D3D49"/>
    <w:rsid w:val="007D7927"/>
    <w:rsid w:val="007D7A93"/>
    <w:rsid w:val="007E04E7"/>
    <w:rsid w:val="007E0BBA"/>
    <w:rsid w:val="007E2A65"/>
    <w:rsid w:val="007E4853"/>
    <w:rsid w:val="007E60D2"/>
    <w:rsid w:val="007E7E4F"/>
    <w:rsid w:val="007F042B"/>
    <w:rsid w:val="007F099A"/>
    <w:rsid w:val="007F0E72"/>
    <w:rsid w:val="007F1747"/>
    <w:rsid w:val="007F2309"/>
    <w:rsid w:val="007F5113"/>
    <w:rsid w:val="007F6C13"/>
    <w:rsid w:val="007F7E32"/>
    <w:rsid w:val="00800958"/>
    <w:rsid w:val="0080109A"/>
    <w:rsid w:val="008012BF"/>
    <w:rsid w:val="00801619"/>
    <w:rsid w:val="00802ECD"/>
    <w:rsid w:val="0080588F"/>
    <w:rsid w:val="00805F5C"/>
    <w:rsid w:val="0080766F"/>
    <w:rsid w:val="00807A94"/>
    <w:rsid w:val="00810298"/>
    <w:rsid w:val="00810E5D"/>
    <w:rsid w:val="00811446"/>
    <w:rsid w:val="008116A4"/>
    <w:rsid w:val="00814A05"/>
    <w:rsid w:val="008151DC"/>
    <w:rsid w:val="00820078"/>
    <w:rsid w:val="0082150C"/>
    <w:rsid w:val="008238F0"/>
    <w:rsid w:val="00827D10"/>
    <w:rsid w:val="0083032A"/>
    <w:rsid w:val="008304E4"/>
    <w:rsid w:val="008313C6"/>
    <w:rsid w:val="00831ED9"/>
    <w:rsid w:val="008326D7"/>
    <w:rsid w:val="00832E38"/>
    <w:rsid w:val="00833CC8"/>
    <w:rsid w:val="008361D7"/>
    <w:rsid w:val="008362B1"/>
    <w:rsid w:val="00836D66"/>
    <w:rsid w:val="0084005B"/>
    <w:rsid w:val="008462C3"/>
    <w:rsid w:val="008521B2"/>
    <w:rsid w:val="008555AB"/>
    <w:rsid w:val="00861D3A"/>
    <w:rsid w:val="008644B3"/>
    <w:rsid w:val="008648A4"/>
    <w:rsid w:val="0086525C"/>
    <w:rsid w:val="008672D3"/>
    <w:rsid w:val="00871DE6"/>
    <w:rsid w:val="008725B8"/>
    <w:rsid w:val="008742F4"/>
    <w:rsid w:val="00875465"/>
    <w:rsid w:val="0087659E"/>
    <w:rsid w:val="00876B25"/>
    <w:rsid w:val="00880614"/>
    <w:rsid w:val="00882C4D"/>
    <w:rsid w:val="008840CD"/>
    <w:rsid w:val="00884967"/>
    <w:rsid w:val="00884DBF"/>
    <w:rsid w:val="00884E48"/>
    <w:rsid w:val="00885951"/>
    <w:rsid w:val="00886FF3"/>
    <w:rsid w:val="0088739B"/>
    <w:rsid w:val="00890F5F"/>
    <w:rsid w:val="00892B8F"/>
    <w:rsid w:val="00896DE9"/>
    <w:rsid w:val="008A3C52"/>
    <w:rsid w:val="008A49D2"/>
    <w:rsid w:val="008A6175"/>
    <w:rsid w:val="008B0F73"/>
    <w:rsid w:val="008B3810"/>
    <w:rsid w:val="008B3FB8"/>
    <w:rsid w:val="008B49C9"/>
    <w:rsid w:val="008B606C"/>
    <w:rsid w:val="008C1A43"/>
    <w:rsid w:val="008C240C"/>
    <w:rsid w:val="008C78E7"/>
    <w:rsid w:val="008C79AE"/>
    <w:rsid w:val="008D1678"/>
    <w:rsid w:val="008D206A"/>
    <w:rsid w:val="008D3CDC"/>
    <w:rsid w:val="008D4185"/>
    <w:rsid w:val="008D4380"/>
    <w:rsid w:val="008D480E"/>
    <w:rsid w:val="008D4FEC"/>
    <w:rsid w:val="008E0A39"/>
    <w:rsid w:val="008E0A3E"/>
    <w:rsid w:val="008E246B"/>
    <w:rsid w:val="008E34F4"/>
    <w:rsid w:val="008E35FE"/>
    <w:rsid w:val="008E4376"/>
    <w:rsid w:val="008E4C11"/>
    <w:rsid w:val="008E4D1E"/>
    <w:rsid w:val="008E6509"/>
    <w:rsid w:val="008E6EA1"/>
    <w:rsid w:val="008E7354"/>
    <w:rsid w:val="008E779D"/>
    <w:rsid w:val="008F0273"/>
    <w:rsid w:val="008F0B2B"/>
    <w:rsid w:val="008F0DCE"/>
    <w:rsid w:val="008F0EE9"/>
    <w:rsid w:val="008F3430"/>
    <w:rsid w:val="008F34B6"/>
    <w:rsid w:val="008F419B"/>
    <w:rsid w:val="008F4921"/>
    <w:rsid w:val="008F62E4"/>
    <w:rsid w:val="008F6322"/>
    <w:rsid w:val="008F7BF3"/>
    <w:rsid w:val="009012E4"/>
    <w:rsid w:val="00901481"/>
    <w:rsid w:val="00901E33"/>
    <w:rsid w:val="00902F5B"/>
    <w:rsid w:val="00903DB7"/>
    <w:rsid w:val="00905023"/>
    <w:rsid w:val="009058F5"/>
    <w:rsid w:val="00905D14"/>
    <w:rsid w:val="00905FEA"/>
    <w:rsid w:val="00906043"/>
    <w:rsid w:val="009071BC"/>
    <w:rsid w:val="009075B7"/>
    <w:rsid w:val="00910098"/>
    <w:rsid w:val="00910977"/>
    <w:rsid w:val="00912F69"/>
    <w:rsid w:val="00915AB0"/>
    <w:rsid w:val="009176AA"/>
    <w:rsid w:val="00920EE2"/>
    <w:rsid w:val="009241A5"/>
    <w:rsid w:val="00925DE6"/>
    <w:rsid w:val="0092758F"/>
    <w:rsid w:val="00931A0B"/>
    <w:rsid w:val="00931A20"/>
    <w:rsid w:val="00931F84"/>
    <w:rsid w:val="00933DC9"/>
    <w:rsid w:val="0093596A"/>
    <w:rsid w:val="00935B40"/>
    <w:rsid w:val="009364B6"/>
    <w:rsid w:val="009364B7"/>
    <w:rsid w:val="009374AD"/>
    <w:rsid w:val="00937BF8"/>
    <w:rsid w:val="00940292"/>
    <w:rsid w:val="009406EE"/>
    <w:rsid w:val="009410AE"/>
    <w:rsid w:val="00942135"/>
    <w:rsid w:val="009427E1"/>
    <w:rsid w:val="00943BAB"/>
    <w:rsid w:val="00943E24"/>
    <w:rsid w:val="00944AE0"/>
    <w:rsid w:val="00947C95"/>
    <w:rsid w:val="00951C2E"/>
    <w:rsid w:val="00954A96"/>
    <w:rsid w:val="00955615"/>
    <w:rsid w:val="0095608B"/>
    <w:rsid w:val="00956733"/>
    <w:rsid w:val="00957850"/>
    <w:rsid w:val="009601BD"/>
    <w:rsid w:val="009605E9"/>
    <w:rsid w:val="00960BC3"/>
    <w:rsid w:val="009617D5"/>
    <w:rsid w:val="00961EED"/>
    <w:rsid w:val="0096520A"/>
    <w:rsid w:val="009702B8"/>
    <w:rsid w:val="0097032B"/>
    <w:rsid w:val="009706B7"/>
    <w:rsid w:val="0097273B"/>
    <w:rsid w:val="00973EA7"/>
    <w:rsid w:val="00975C59"/>
    <w:rsid w:val="00976ABE"/>
    <w:rsid w:val="0097706E"/>
    <w:rsid w:val="0098161F"/>
    <w:rsid w:val="00982533"/>
    <w:rsid w:val="009847B9"/>
    <w:rsid w:val="009853A8"/>
    <w:rsid w:val="0098639C"/>
    <w:rsid w:val="00991EC2"/>
    <w:rsid w:val="00992682"/>
    <w:rsid w:val="00993F16"/>
    <w:rsid w:val="0099537E"/>
    <w:rsid w:val="00995F85"/>
    <w:rsid w:val="0099794D"/>
    <w:rsid w:val="009A7209"/>
    <w:rsid w:val="009A7930"/>
    <w:rsid w:val="009B087B"/>
    <w:rsid w:val="009B5B78"/>
    <w:rsid w:val="009B7F5D"/>
    <w:rsid w:val="009C119A"/>
    <w:rsid w:val="009C54FF"/>
    <w:rsid w:val="009C66CA"/>
    <w:rsid w:val="009D0496"/>
    <w:rsid w:val="009D11ED"/>
    <w:rsid w:val="009D1AEA"/>
    <w:rsid w:val="009D360C"/>
    <w:rsid w:val="009D3AB8"/>
    <w:rsid w:val="009D40AF"/>
    <w:rsid w:val="009D4926"/>
    <w:rsid w:val="009D4FD7"/>
    <w:rsid w:val="009D5FC6"/>
    <w:rsid w:val="009D7911"/>
    <w:rsid w:val="009E05FE"/>
    <w:rsid w:val="009E1EF8"/>
    <w:rsid w:val="009E26CC"/>
    <w:rsid w:val="009E32DC"/>
    <w:rsid w:val="009E3462"/>
    <w:rsid w:val="009E53B1"/>
    <w:rsid w:val="009E5A0F"/>
    <w:rsid w:val="009F03D2"/>
    <w:rsid w:val="009F1932"/>
    <w:rsid w:val="009F2C98"/>
    <w:rsid w:val="009F371F"/>
    <w:rsid w:val="009F3C30"/>
    <w:rsid w:val="009F4294"/>
    <w:rsid w:val="009F43CA"/>
    <w:rsid w:val="009F4538"/>
    <w:rsid w:val="009F45DE"/>
    <w:rsid w:val="009F66D5"/>
    <w:rsid w:val="00A012CA"/>
    <w:rsid w:val="00A016B4"/>
    <w:rsid w:val="00A0261F"/>
    <w:rsid w:val="00A0273C"/>
    <w:rsid w:val="00A0628E"/>
    <w:rsid w:val="00A062C2"/>
    <w:rsid w:val="00A10250"/>
    <w:rsid w:val="00A10A1D"/>
    <w:rsid w:val="00A10D93"/>
    <w:rsid w:val="00A10EE7"/>
    <w:rsid w:val="00A11785"/>
    <w:rsid w:val="00A1186E"/>
    <w:rsid w:val="00A12701"/>
    <w:rsid w:val="00A15B5B"/>
    <w:rsid w:val="00A166A2"/>
    <w:rsid w:val="00A16748"/>
    <w:rsid w:val="00A16DCD"/>
    <w:rsid w:val="00A17336"/>
    <w:rsid w:val="00A2364F"/>
    <w:rsid w:val="00A25E51"/>
    <w:rsid w:val="00A30911"/>
    <w:rsid w:val="00A30B86"/>
    <w:rsid w:val="00A31073"/>
    <w:rsid w:val="00A33393"/>
    <w:rsid w:val="00A44047"/>
    <w:rsid w:val="00A46331"/>
    <w:rsid w:val="00A46DB9"/>
    <w:rsid w:val="00A475BD"/>
    <w:rsid w:val="00A502A6"/>
    <w:rsid w:val="00A512A5"/>
    <w:rsid w:val="00A514F3"/>
    <w:rsid w:val="00A51D76"/>
    <w:rsid w:val="00A53CB2"/>
    <w:rsid w:val="00A53D1C"/>
    <w:rsid w:val="00A53E99"/>
    <w:rsid w:val="00A53F2D"/>
    <w:rsid w:val="00A5681C"/>
    <w:rsid w:val="00A575B5"/>
    <w:rsid w:val="00A579A1"/>
    <w:rsid w:val="00A61A57"/>
    <w:rsid w:val="00A6246D"/>
    <w:rsid w:val="00A625F5"/>
    <w:rsid w:val="00A645DE"/>
    <w:rsid w:val="00A64BAF"/>
    <w:rsid w:val="00A65661"/>
    <w:rsid w:val="00A656B2"/>
    <w:rsid w:val="00A66979"/>
    <w:rsid w:val="00A66C99"/>
    <w:rsid w:val="00A6781A"/>
    <w:rsid w:val="00A718CE"/>
    <w:rsid w:val="00A73C75"/>
    <w:rsid w:val="00A7449F"/>
    <w:rsid w:val="00A750F8"/>
    <w:rsid w:val="00A75BBB"/>
    <w:rsid w:val="00A75E12"/>
    <w:rsid w:val="00A76CDF"/>
    <w:rsid w:val="00A77531"/>
    <w:rsid w:val="00A77E87"/>
    <w:rsid w:val="00A8078A"/>
    <w:rsid w:val="00A85362"/>
    <w:rsid w:val="00A858CB"/>
    <w:rsid w:val="00A85E65"/>
    <w:rsid w:val="00A90D19"/>
    <w:rsid w:val="00A950CA"/>
    <w:rsid w:val="00AA17C8"/>
    <w:rsid w:val="00AA4A1C"/>
    <w:rsid w:val="00AA6142"/>
    <w:rsid w:val="00AB0945"/>
    <w:rsid w:val="00AB1D42"/>
    <w:rsid w:val="00AB2EFF"/>
    <w:rsid w:val="00AB5756"/>
    <w:rsid w:val="00AB5869"/>
    <w:rsid w:val="00AB5CC5"/>
    <w:rsid w:val="00AC077B"/>
    <w:rsid w:val="00AC132F"/>
    <w:rsid w:val="00AC1458"/>
    <w:rsid w:val="00AC32AB"/>
    <w:rsid w:val="00AC6DE0"/>
    <w:rsid w:val="00AC72B9"/>
    <w:rsid w:val="00AD0FBC"/>
    <w:rsid w:val="00AD2CAC"/>
    <w:rsid w:val="00AD53AE"/>
    <w:rsid w:val="00AD5C0A"/>
    <w:rsid w:val="00AD5CE2"/>
    <w:rsid w:val="00AD6BCC"/>
    <w:rsid w:val="00AE2F35"/>
    <w:rsid w:val="00AE64E0"/>
    <w:rsid w:val="00AE7309"/>
    <w:rsid w:val="00AE7596"/>
    <w:rsid w:val="00AE7636"/>
    <w:rsid w:val="00AF04AF"/>
    <w:rsid w:val="00AF0CDD"/>
    <w:rsid w:val="00AF12DB"/>
    <w:rsid w:val="00AF449E"/>
    <w:rsid w:val="00AF5B68"/>
    <w:rsid w:val="00AF658F"/>
    <w:rsid w:val="00AF743E"/>
    <w:rsid w:val="00B012F3"/>
    <w:rsid w:val="00B0540D"/>
    <w:rsid w:val="00B06604"/>
    <w:rsid w:val="00B10B55"/>
    <w:rsid w:val="00B136C7"/>
    <w:rsid w:val="00B1370C"/>
    <w:rsid w:val="00B14957"/>
    <w:rsid w:val="00B16420"/>
    <w:rsid w:val="00B212DA"/>
    <w:rsid w:val="00B22FCF"/>
    <w:rsid w:val="00B32C7E"/>
    <w:rsid w:val="00B336B7"/>
    <w:rsid w:val="00B3495E"/>
    <w:rsid w:val="00B40B58"/>
    <w:rsid w:val="00B421EB"/>
    <w:rsid w:val="00B42E80"/>
    <w:rsid w:val="00B446C1"/>
    <w:rsid w:val="00B5256B"/>
    <w:rsid w:val="00B54AB2"/>
    <w:rsid w:val="00B54C01"/>
    <w:rsid w:val="00B55AB4"/>
    <w:rsid w:val="00B56446"/>
    <w:rsid w:val="00B56F63"/>
    <w:rsid w:val="00B60881"/>
    <w:rsid w:val="00B61D44"/>
    <w:rsid w:val="00B62494"/>
    <w:rsid w:val="00B62A0D"/>
    <w:rsid w:val="00B62A24"/>
    <w:rsid w:val="00B65958"/>
    <w:rsid w:val="00B66206"/>
    <w:rsid w:val="00B676B8"/>
    <w:rsid w:val="00B70BB7"/>
    <w:rsid w:val="00B7254F"/>
    <w:rsid w:val="00B72E85"/>
    <w:rsid w:val="00B73864"/>
    <w:rsid w:val="00B73D3B"/>
    <w:rsid w:val="00B76F8B"/>
    <w:rsid w:val="00B77148"/>
    <w:rsid w:val="00B808AC"/>
    <w:rsid w:val="00B809C6"/>
    <w:rsid w:val="00B82655"/>
    <w:rsid w:val="00B836FC"/>
    <w:rsid w:val="00B83CCF"/>
    <w:rsid w:val="00B84DC1"/>
    <w:rsid w:val="00B8530E"/>
    <w:rsid w:val="00B858E6"/>
    <w:rsid w:val="00B8603E"/>
    <w:rsid w:val="00B864D2"/>
    <w:rsid w:val="00B87F83"/>
    <w:rsid w:val="00B90662"/>
    <w:rsid w:val="00B91579"/>
    <w:rsid w:val="00B91B90"/>
    <w:rsid w:val="00B945DE"/>
    <w:rsid w:val="00B94D02"/>
    <w:rsid w:val="00B94DBE"/>
    <w:rsid w:val="00B976F4"/>
    <w:rsid w:val="00BA25D9"/>
    <w:rsid w:val="00BA3A77"/>
    <w:rsid w:val="00BB0F3B"/>
    <w:rsid w:val="00BB2E5B"/>
    <w:rsid w:val="00BB4468"/>
    <w:rsid w:val="00BB659F"/>
    <w:rsid w:val="00BC08BA"/>
    <w:rsid w:val="00BC1C5B"/>
    <w:rsid w:val="00BC26F1"/>
    <w:rsid w:val="00BC2D3C"/>
    <w:rsid w:val="00BC47C3"/>
    <w:rsid w:val="00BC6BD8"/>
    <w:rsid w:val="00BC7CB4"/>
    <w:rsid w:val="00BD159B"/>
    <w:rsid w:val="00BD3626"/>
    <w:rsid w:val="00BD3706"/>
    <w:rsid w:val="00BD71EB"/>
    <w:rsid w:val="00BE36FC"/>
    <w:rsid w:val="00BE4DC9"/>
    <w:rsid w:val="00BE4E37"/>
    <w:rsid w:val="00BE5B26"/>
    <w:rsid w:val="00BE7671"/>
    <w:rsid w:val="00BE7EB9"/>
    <w:rsid w:val="00BF377A"/>
    <w:rsid w:val="00BF72E3"/>
    <w:rsid w:val="00C00032"/>
    <w:rsid w:val="00C03F2F"/>
    <w:rsid w:val="00C06A41"/>
    <w:rsid w:val="00C07A32"/>
    <w:rsid w:val="00C11B4D"/>
    <w:rsid w:val="00C1350F"/>
    <w:rsid w:val="00C14215"/>
    <w:rsid w:val="00C1421D"/>
    <w:rsid w:val="00C14A52"/>
    <w:rsid w:val="00C17C55"/>
    <w:rsid w:val="00C17D3F"/>
    <w:rsid w:val="00C17EBE"/>
    <w:rsid w:val="00C2056D"/>
    <w:rsid w:val="00C2364B"/>
    <w:rsid w:val="00C27D99"/>
    <w:rsid w:val="00C308DB"/>
    <w:rsid w:val="00C31926"/>
    <w:rsid w:val="00C31976"/>
    <w:rsid w:val="00C32416"/>
    <w:rsid w:val="00C32D2C"/>
    <w:rsid w:val="00C345D5"/>
    <w:rsid w:val="00C34B8C"/>
    <w:rsid w:val="00C34CF4"/>
    <w:rsid w:val="00C352B4"/>
    <w:rsid w:val="00C35309"/>
    <w:rsid w:val="00C356E4"/>
    <w:rsid w:val="00C43FD3"/>
    <w:rsid w:val="00C44383"/>
    <w:rsid w:val="00C508DE"/>
    <w:rsid w:val="00C515C1"/>
    <w:rsid w:val="00C521C9"/>
    <w:rsid w:val="00C52A4E"/>
    <w:rsid w:val="00C539E3"/>
    <w:rsid w:val="00C56451"/>
    <w:rsid w:val="00C60CDF"/>
    <w:rsid w:val="00C61F61"/>
    <w:rsid w:val="00C62C78"/>
    <w:rsid w:val="00C63918"/>
    <w:rsid w:val="00C63B92"/>
    <w:rsid w:val="00C6480E"/>
    <w:rsid w:val="00C65247"/>
    <w:rsid w:val="00C654B1"/>
    <w:rsid w:val="00C65732"/>
    <w:rsid w:val="00C71FB6"/>
    <w:rsid w:val="00C734FE"/>
    <w:rsid w:val="00C73DF1"/>
    <w:rsid w:val="00C769EE"/>
    <w:rsid w:val="00C800D2"/>
    <w:rsid w:val="00C82B3A"/>
    <w:rsid w:val="00C836D5"/>
    <w:rsid w:val="00C83F4E"/>
    <w:rsid w:val="00C8435D"/>
    <w:rsid w:val="00C8537B"/>
    <w:rsid w:val="00C85AF1"/>
    <w:rsid w:val="00C85B9A"/>
    <w:rsid w:val="00C85C50"/>
    <w:rsid w:val="00C85FD0"/>
    <w:rsid w:val="00C87DB7"/>
    <w:rsid w:val="00C911D5"/>
    <w:rsid w:val="00C913D1"/>
    <w:rsid w:val="00C943D8"/>
    <w:rsid w:val="00CA03E3"/>
    <w:rsid w:val="00CA12AA"/>
    <w:rsid w:val="00CA1999"/>
    <w:rsid w:val="00CA1B1A"/>
    <w:rsid w:val="00CA1CD5"/>
    <w:rsid w:val="00CA2574"/>
    <w:rsid w:val="00CA4C8B"/>
    <w:rsid w:val="00CA58E5"/>
    <w:rsid w:val="00CA5C61"/>
    <w:rsid w:val="00CB20F3"/>
    <w:rsid w:val="00CB24A0"/>
    <w:rsid w:val="00CB4F2A"/>
    <w:rsid w:val="00CB5CCD"/>
    <w:rsid w:val="00CB6370"/>
    <w:rsid w:val="00CB73CD"/>
    <w:rsid w:val="00CC08A1"/>
    <w:rsid w:val="00CC1EDC"/>
    <w:rsid w:val="00CC222B"/>
    <w:rsid w:val="00CD18B2"/>
    <w:rsid w:val="00CD2DED"/>
    <w:rsid w:val="00CD416A"/>
    <w:rsid w:val="00CD5A08"/>
    <w:rsid w:val="00CD6341"/>
    <w:rsid w:val="00CD66AA"/>
    <w:rsid w:val="00CD7CD5"/>
    <w:rsid w:val="00CD7F2B"/>
    <w:rsid w:val="00CE0702"/>
    <w:rsid w:val="00CE0744"/>
    <w:rsid w:val="00CE16E6"/>
    <w:rsid w:val="00CE2EED"/>
    <w:rsid w:val="00CE434E"/>
    <w:rsid w:val="00CE48C0"/>
    <w:rsid w:val="00CE58BC"/>
    <w:rsid w:val="00CE6711"/>
    <w:rsid w:val="00CE6F71"/>
    <w:rsid w:val="00CF0116"/>
    <w:rsid w:val="00CF3B91"/>
    <w:rsid w:val="00CF4671"/>
    <w:rsid w:val="00CF6280"/>
    <w:rsid w:val="00D00EB4"/>
    <w:rsid w:val="00D0112A"/>
    <w:rsid w:val="00D023B3"/>
    <w:rsid w:val="00D06125"/>
    <w:rsid w:val="00D078DD"/>
    <w:rsid w:val="00D112C8"/>
    <w:rsid w:val="00D139F3"/>
    <w:rsid w:val="00D16A6D"/>
    <w:rsid w:val="00D17677"/>
    <w:rsid w:val="00D2001C"/>
    <w:rsid w:val="00D21C5C"/>
    <w:rsid w:val="00D22796"/>
    <w:rsid w:val="00D2443B"/>
    <w:rsid w:val="00D25C6C"/>
    <w:rsid w:val="00D32C91"/>
    <w:rsid w:val="00D341B0"/>
    <w:rsid w:val="00D35D1D"/>
    <w:rsid w:val="00D417B9"/>
    <w:rsid w:val="00D43AA7"/>
    <w:rsid w:val="00D43ED5"/>
    <w:rsid w:val="00D46ABB"/>
    <w:rsid w:val="00D471C8"/>
    <w:rsid w:val="00D47496"/>
    <w:rsid w:val="00D50024"/>
    <w:rsid w:val="00D50079"/>
    <w:rsid w:val="00D51033"/>
    <w:rsid w:val="00D52518"/>
    <w:rsid w:val="00D52A5A"/>
    <w:rsid w:val="00D62252"/>
    <w:rsid w:val="00D63C1F"/>
    <w:rsid w:val="00D670D1"/>
    <w:rsid w:val="00D67BA3"/>
    <w:rsid w:val="00D732E4"/>
    <w:rsid w:val="00D75D39"/>
    <w:rsid w:val="00D762D0"/>
    <w:rsid w:val="00D76FEB"/>
    <w:rsid w:val="00D80879"/>
    <w:rsid w:val="00D818F7"/>
    <w:rsid w:val="00D82A95"/>
    <w:rsid w:val="00D82C51"/>
    <w:rsid w:val="00D83E7C"/>
    <w:rsid w:val="00D84150"/>
    <w:rsid w:val="00D8465B"/>
    <w:rsid w:val="00D84C2C"/>
    <w:rsid w:val="00D84EBA"/>
    <w:rsid w:val="00D86FD7"/>
    <w:rsid w:val="00D8709F"/>
    <w:rsid w:val="00D91729"/>
    <w:rsid w:val="00D918B4"/>
    <w:rsid w:val="00D947A2"/>
    <w:rsid w:val="00D95945"/>
    <w:rsid w:val="00D960FE"/>
    <w:rsid w:val="00D97839"/>
    <w:rsid w:val="00DA0631"/>
    <w:rsid w:val="00DA1CC1"/>
    <w:rsid w:val="00DA2AAA"/>
    <w:rsid w:val="00DA35BD"/>
    <w:rsid w:val="00DA48D8"/>
    <w:rsid w:val="00DB0B64"/>
    <w:rsid w:val="00DB20B0"/>
    <w:rsid w:val="00DB5C1B"/>
    <w:rsid w:val="00DB6B76"/>
    <w:rsid w:val="00DB73F9"/>
    <w:rsid w:val="00DB7AAA"/>
    <w:rsid w:val="00DB7B7F"/>
    <w:rsid w:val="00DC0766"/>
    <w:rsid w:val="00DC1E28"/>
    <w:rsid w:val="00DC2356"/>
    <w:rsid w:val="00DC3A61"/>
    <w:rsid w:val="00DC3CD2"/>
    <w:rsid w:val="00DC46AA"/>
    <w:rsid w:val="00DC4A8E"/>
    <w:rsid w:val="00DC4CE9"/>
    <w:rsid w:val="00DC5940"/>
    <w:rsid w:val="00DC72D5"/>
    <w:rsid w:val="00DD07E9"/>
    <w:rsid w:val="00DD17B2"/>
    <w:rsid w:val="00DD4234"/>
    <w:rsid w:val="00DD44F8"/>
    <w:rsid w:val="00DD48EA"/>
    <w:rsid w:val="00DD5723"/>
    <w:rsid w:val="00DE0019"/>
    <w:rsid w:val="00DE00B9"/>
    <w:rsid w:val="00DE0661"/>
    <w:rsid w:val="00DE25D4"/>
    <w:rsid w:val="00DF35F3"/>
    <w:rsid w:val="00DF5B65"/>
    <w:rsid w:val="00DF7347"/>
    <w:rsid w:val="00E00D93"/>
    <w:rsid w:val="00E0162B"/>
    <w:rsid w:val="00E02170"/>
    <w:rsid w:val="00E02640"/>
    <w:rsid w:val="00E02D5E"/>
    <w:rsid w:val="00E04F91"/>
    <w:rsid w:val="00E05253"/>
    <w:rsid w:val="00E06F22"/>
    <w:rsid w:val="00E1313B"/>
    <w:rsid w:val="00E1461D"/>
    <w:rsid w:val="00E155BC"/>
    <w:rsid w:val="00E171C7"/>
    <w:rsid w:val="00E1745B"/>
    <w:rsid w:val="00E17B25"/>
    <w:rsid w:val="00E215F1"/>
    <w:rsid w:val="00E21D86"/>
    <w:rsid w:val="00E2337F"/>
    <w:rsid w:val="00E23FD8"/>
    <w:rsid w:val="00E24889"/>
    <w:rsid w:val="00E24F4B"/>
    <w:rsid w:val="00E26A05"/>
    <w:rsid w:val="00E27515"/>
    <w:rsid w:val="00E31F76"/>
    <w:rsid w:val="00E33956"/>
    <w:rsid w:val="00E342B1"/>
    <w:rsid w:val="00E345AC"/>
    <w:rsid w:val="00E34A27"/>
    <w:rsid w:val="00E35AC3"/>
    <w:rsid w:val="00E37160"/>
    <w:rsid w:val="00E40A98"/>
    <w:rsid w:val="00E43F1C"/>
    <w:rsid w:val="00E5034A"/>
    <w:rsid w:val="00E5050A"/>
    <w:rsid w:val="00E5067C"/>
    <w:rsid w:val="00E50AA3"/>
    <w:rsid w:val="00E525A1"/>
    <w:rsid w:val="00E52836"/>
    <w:rsid w:val="00E54AFF"/>
    <w:rsid w:val="00E577DE"/>
    <w:rsid w:val="00E57BB6"/>
    <w:rsid w:val="00E6157B"/>
    <w:rsid w:val="00E62170"/>
    <w:rsid w:val="00E64EBB"/>
    <w:rsid w:val="00E652D1"/>
    <w:rsid w:val="00E6693F"/>
    <w:rsid w:val="00E7117B"/>
    <w:rsid w:val="00E721F7"/>
    <w:rsid w:val="00E80E3B"/>
    <w:rsid w:val="00E80EE6"/>
    <w:rsid w:val="00E85230"/>
    <w:rsid w:val="00E90127"/>
    <w:rsid w:val="00E91280"/>
    <w:rsid w:val="00E915B0"/>
    <w:rsid w:val="00E9274B"/>
    <w:rsid w:val="00E92993"/>
    <w:rsid w:val="00E9375C"/>
    <w:rsid w:val="00E94290"/>
    <w:rsid w:val="00E96622"/>
    <w:rsid w:val="00E97B1E"/>
    <w:rsid w:val="00EA0F21"/>
    <w:rsid w:val="00EA31CC"/>
    <w:rsid w:val="00EA418F"/>
    <w:rsid w:val="00EA600A"/>
    <w:rsid w:val="00EB3BF4"/>
    <w:rsid w:val="00EB3E33"/>
    <w:rsid w:val="00EB5951"/>
    <w:rsid w:val="00EB5961"/>
    <w:rsid w:val="00EB723F"/>
    <w:rsid w:val="00EC049D"/>
    <w:rsid w:val="00EC0818"/>
    <w:rsid w:val="00EC33C0"/>
    <w:rsid w:val="00EC34EF"/>
    <w:rsid w:val="00EC3BA3"/>
    <w:rsid w:val="00ED4008"/>
    <w:rsid w:val="00ED4226"/>
    <w:rsid w:val="00ED4B33"/>
    <w:rsid w:val="00ED4DD6"/>
    <w:rsid w:val="00ED53EA"/>
    <w:rsid w:val="00ED5C4D"/>
    <w:rsid w:val="00ED5E61"/>
    <w:rsid w:val="00ED6D57"/>
    <w:rsid w:val="00ED777D"/>
    <w:rsid w:val="00EE65D6"/>
    <w:rsid w:val="00EE7F29"/>
    <w:rsid w:val="00EF00AD"/>
    <w:rsid w:val="00EF660A"/>
    <w:rsid w:val="00EF6A1C"/>
    <w:rsid w:val="00F0522A"/>
    <w:rsid w:val="00F0744A"/>
    <w:rsid w:val="00F07DB2"/>
    <w:rsid w:val="00F07DEE"/>
    <w:rsid w:val="00F11AE3"/>
    <w:rsid w:val="00F123FA"/>
    <w:rsid w:val="00F12EDB"/>
    <w:rsid w:val="00F15331"/>
    <w:rsid w:val="00F16E11"/>
    <w:rsid w:val="00F201CD"/>
    <w:rsid w:val="00F24B20"/>
    <w:rsid w:val="00F267FD"/>
    <w:rsid w:val="00F26863"/>
    <w:rsid w:val="00F30924"/>
    <w:rsid w:val="00F34822"/>
    <w:rsid w:val="00F35AC8"/>
    <w:rsid w:val="00F3606C"/>
    <w:rsid w:val="00F362DF"/>
    <w:rsid w:val="00F418D1"/>
    <w:rsid w:val="00F42DCB"/>
    <w:rsid w:val="00F4391F"/>
    <w:rsid w:val="00F45A9F"/>
    <w:rsid w:val="00F506F3"/>
    <w:rsid w:val="00F51517"/>
    <w:rsid w:val="00F51F6D"/>
    <w:rsid w:val="00F52835"/>
    <w:rsid w:val="00F5415A"/>
    <w:rsid w:val="00F5629B"/>
    <w:rsid w:val="00F61BD5"/>
    <w:rsid w:val="00F62B5B"/>
    <w:rsid w:val="00F62FFD"/>
    <w:rsid w:val="00F72B52"/>
    <w:rsid w:val="00F77BC8"/>
    <w:rsid w:val="00F83DB8"/>
    <w:rsid w:val="00F85D35"/>
    <w:rsid w:val="00F866A3"/>
    <w:rsid w:val="00F91125"/>
    <w:rsid w:val="00F923CB"/>
    <w:rsid w:val="00F94943"/>
    <w:rsid w:val="00F95295"/>
    <w:rsid w:val="00FA07A6"/>
    <w:rsid w:val="00FA0D64"/>
    <w:rsid w:val="00FA0F6F"/>
    <w:rsid w:val="00FA140C"/>
    <w:rsid w:val="00FA2934"/>
    <w:rsid w:val="00FA322A"/>
    <w:rsid w:val="00FA421B"/>
    <w:rsid w:val="00FB0EA0"/>
    <w:rsid w:val="00FB2051"/>
    <w:rsid w:val="00FB212F"/>
    <w:rsid w:val="00FB2F56"/>
    <w:rsid w:val="00FB4665"/>
    <w:rsid w:val="00FB6F60"/>
    <w:rsid w:val="00FC32A5"/>
    <w:rsid w:val="00FC3E5D"/>
    <w:rsid w:val="00FC5D46"/>
    <w:rsid w:val="00FC66D8"/>
    <w:rsid w:val="00FD2581"/>
    <w:rsid w:val="00FD2944"/>
    <w:rsid w:val="00FD4CF3"/>
    <w:rsid w:val="00FD5A8B"/>
    <w:rsid w:val="00FD7101"/>
    <w:rsid w:val="00FE46CD"/>
    <w:rsid w:val="00FE6E49"/>
    <w:rsid w:val="00FE75E5"/>
    <w:rsid w:val="00FF087C"/>
    <w:rsid w:val="00FF1742"/>
    <w:rsid w:val="00FF2272"/>
    <w:rsid w:val="00FF4B8C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DA093B"/>
  <w15:chartTrackingRefBased/>
  <w15:docId w15:val="{0E213F18-2CE0-48A0-9D8B-01D8FEB1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079"/>
  </w:style>
  <w:style w:type="paragraph" w:styleId="Heading1">
    <w:name w:val="heading 1"/>
    <w:basedOn w:val="Normal"/>
    <w:next w:val="Normal"/>
    <w:link w:val="Heading1Char"/>
    <w:uiPriority w:val="9"/>
    <w:qFormat/>
    <w:rsid w:val="005B64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B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8151DC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815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C3F9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RAN4H2">
    <w:name w:val="RAN4 H2"/>
    <w:basedOn w:val="Heading2"/>
    <w:next w:val="Normal"/>
    <w:qFormat/>
    <w:rsid w:val="00030BF8"/>
    <w:pPr>
      <w:numPr>
        <w:ilvl w:val="1"/>
        <w:numId w:val="5"/>
      </w:numPr>
      <w:spacing w:before="180" w:after="180" w:line="240" w:lineRule="auto"/>
    </w:pPr>
    <w:rPr>
      <w:rFonts w:ascii="Arial" w:eastAsia="Times New Roman" w:hAnsi="Arial" w:cs="Times New Roman"/>
      <w:color w:val="auto"/>
      <w:kern w:val="0"/>
      <w:sz w:val="32"/>
      <w:szCs w:val="20"/>
      <w14:ligatures w14:val="none"/>
    </w:rPr>
  </w:style>
  <w:style w:type="paragraph" w:customStyle="1" w:styleId="RAN4H1">
    <w:name w:val="RAN4 H1"/>
    <w:basedOn w:val="Normal"/>
    <w:next w:val="Normal"/>
    <w:link w:val="RAN4H1Char"/>
    <w:qFormat/>
    <w:rsid w:val="00030BF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kern w:val="0"/>
      <w:sz w:val="36"/>
      <w:szCs w:val="20"/>
      <w14:ligatures w14:val="none"/>
    </w:rPr>
  </w:style>
  <w:style w:type="character" w:customStyle="1" w:styleId="RAN4H1Char">
    <w:name w:val="RAN4 H1 Char"/>
    <w:basedOn w:val="DefaultParagraphFont"/>
    <w:link w:val="RAN4H1"/>
    <w:rsid w:val="00030BF8"/>
    <w:rPr>
      <w:rFonts w:ascii="Arial" w:eastAsia="宋体" w:hAnsi="Arial" w:cs="Times New Roman"/>
      <w:kern w:val="0"/>
      <w:sz w:val="36"/>
      <w:szCs w:val="20"/>
      <w:lang w:val="en-US"/>
      <w14:ligatures w14:val="none"/>
    </w:rPr>
  </w:style>
  <w:style w:type="paragraph" w:customStyle="1" w:styleId="RAN4H3">
    <w:name w:val="RAN4 H3"/>
    <w:basedOn w:val="Normal"/>
    <w:link w:val="RAN4H3Char"/>
    <w:qFormat/>
    <w:rsid w:val="00030BF8"/>
    <w:pPr>
      <w:numPr>
        <w:ilvl w:val="2"/>
        <w:numId w:val="5"/>
      </w:numPr>
    </w:pPr>
    <w:rPr>
      <w:rFonts w:ascii="Arial" w:hAnsi="Arial" w:cs="Arial"/>
      <w:kern w:val="0"/>
      <w:sz w:val="24"/>
      <w14:ligatures w14:val="none"/>
    </w:rPr>
  </w:style>
  <w:style w:type="paragraph" w:customStyle="1" w:styleId="3GPPH4">
    <w:name w:val="3GPP H4"/>
    <w:basedOn w:val="RAN4H3"/>
    <w:next w:val="Normal"/>
    <w:qFormat/>
    <w:rsid w:val="00030BF8"/>
    <w:pPr>
      <w:numPr>
        <w:ilvl w:val="3"/>
      </w:numPr>
      <w:ind w:left="709"/>
    </w:pPr>
    <w:rPr>
      <w:sz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B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H">
    <w:name w:val="TH"/>
    <w:basedOn w:val="Normal"/>
    <w:link w:val="THChar"/>
    <w:qFormat/>
    <w:rsid w:val="00D8415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D84150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531A88"/>
  </w:style>
  <w:style w:type="paragraph" w:customStyle="1" w:styleId="TAN">
    <w:name w:val="TAN"/>
    <w:basedOn w:val="Normal"/>
    <w:link w:val="TANChar"/>
    <w:qFormat/>
    <w:rsid w:val="006C7A4B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6C7A4B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RAN4Observation">
    <w:name w:val="RAN4 Observation"/>
    <w:basedOn w:val="ListParagraph"/>
    <w:next w:val="Normal"/>
    <w:rsid w:val="00F61BD5"/>
    <w:pPr>
      <w:numPr>
        <w:numId w:val="8"/>
      </w:numPr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C56451"/>
    <w:pPr>
      <w:ind w:left="0" w:firstLine="0"/>
    </w:pPr>
    <w:rPr>
      <w:rFonts w:asciiTheme="minorHAnsi" w:hAnsiTheme="minorHAnsi" w:cstheme="minorHAnsi"/>
      <w:sz w:val="22"/>
      <w:szCs w:val="22"/>
    </w:rPr>
  </w:style>
  <w:style w:type="character" w:customStyle="1" w:styleId="RAN4observationChar">
    <w:name w:val="RAN4 observation Char"/>
    <w:basedOn w:val="DefaultParagraphFont"/>
    <w:link w:val="RAN4observation0"/>
    <w:rsid w:val="00C56451"/>
    <w:rPr>
      <w:rFonts w:eastAsia="Calibri" w:cstheme="minorHAnsi"/>
      <w:kern w:val="0"/>
      <w:lang w:val="en-US"/>
      <w14:ligatures w14:val="non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C56451"/>
    <w:pPr>
      <w:numPr>
        <w:numId w:val="9"/>
      </w:numPr>
      <w:ind w:left="0" w:firstLine="0"/>
    </w:pPr>
    <w:rPr>
      <w:rFonts w:cstheme="minorHAnsi"/>
      <w:b/>
      <w:i w:val="0"/>
      <w:color w:val="auto"/>
      <w:kern w:val="0"/>
      <w:sz w:val="22"/>
      <w:szCs w:val="20"/>
      <w14:ligatures w14:val="none"/>
    </w:rPr>
  </w:style>
  <w:style w:type="character" w:customStyle="1" w:styleId="RAN4proposalChar">
    <w:name w:val="RAN4 proposal Char"/>
    <w:basedOn w:val="DefaultParagraphFont"/>
    <w:link w:val="RAN4proposal"/>
    <w:rsid w:val="00C56451"/>
    <w:rPr>
      <w:rFonts w:cstheme="minorHAnsi"/>
      <w:b/>
      <w:iCs/>
      <w:kern w:val="0"/>
      <w:szCs w:val="2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qFormat/>
    <w:rsid w:val="00551563"/>
    <w:rPr>
      <w:color w:val="0563C1" w:themeColor="hyperlink"/>
      <w:u w:val="single"/>
    </w:rPr>
  </w:style>
  <w:style w:type="character" w:customStyle="1" w:styleId="RAN4H3Char">
    <w:name w:val="RAN4 H3 Char"/>
    <w:basedOn w:val="DefaultParagraphFont"/>
    <w:link w:val="RAN4H3"/>
    <w:rsid w:val="00551563"/>
    <w:rPr>
      <w:rFonts w:ascii="Arial" w:hAnsi="Arial" w:cs="Arial"/>
      <w:kern w:val="0"/>
      <w:sz w:val="24"/>
      <w:lang w:val="en-US"/>
      <w14:ligatures w14:val="none"/>
    </w:r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51563"/>
    <w:pPr>
      <w:spacing w:after="100"/>
    </w:pPr>
    <w:rPr>
      <w:rFonts w:ascii="Times New Roman" w:hAnsi="Times New Roman"/>
      <w:kern w:val="0"/>
      <w:sz w:val="20"/>
      <w14:ligatures w14:val="none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D53AE"/>
    <w:pPr>
      <w:tabs>
        <w:tab w:val="right" w:leader="dot" w:pos="9629"/>
      </w:tabs>
      <w:spacing w:after="100"/>
    </w:pPr>
    <w:rPr>
      <w:rFonts w:ascii="Times New Roman" w:hAnsi="Times New Roman" w:cs="Times New Roman"/>
      <w:b/>
      <w:noProof/>
      <w:kern w:val="0"/>
      <w:sz w:val="20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5B6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0216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D40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008"/>
  </w:style>
  <w:style w:type="paragraph" w:styleId="Footer">
    <w:name w:val="footer"/>
    <w:basedOn w:val="Normal"/>
    <w:link w:val="FooterChar"/>
    <w:uiPriority w:val="99"/>
    <w:unhideWhenUsed/>
    <w:rsid w:val="00ED40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008"/>
  </w:style>
  <w:style w:type="paragraph" w:styleId="CommentText">
    <w:name w:val="annotation text"/>
    <w:basedOn w:val="Normal"/>
    <w:link w:val="CommentTextChar"/>
    <w:uiPriority w:val="99"/>
    <w:unhideWhenUsed/>
    <w:rsid w:val="00E016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162B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0162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4D2"/>
    <w:pPr>
      <w:spacing w:line="259" w:lineRule="auto"/>
    </w:pPr>
    <w:rPr>
      <w:b/>
      <w:bCs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64D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4D2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4D2"/>
    <w:rPr>
      <w:sz w:val="18"/>
      <w:szCs w:val="18"/>
    </w:rPr>
  </w:style>
  <w:style w:type="table" w:customStyle="1" w:styleId="TableGrid1">
    <w:name w:val="TableGrid1"/>
    <w:basedOn w:val="TableNormal"/>
    <w:next w:val="TableGrid"/>
    <w:uiPriority w:val="39"/>
    <w:qFormat/>
    <w:rsid w:val="009A7930"/>
    <w:pPr>
      <w:spacing w:after="0" w:line="240" w:lineRule="auto"/>
    </w:pPr>
    <w:rPr>
      <w:rFonts w:ascii="Times New Roman" w:eastAsia="等线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5AIRPNAIUNRU-1328258698-26766</_dlc_DocId>
    <_dlc_DocIdUrl xmlns="71c5aaf6-e6ce-465b-b873-5148d2a4c105">
      <Url>https://nokia.sharepoint.com/sites/c5g/5gradio/_layouts/15/DocIdRedir.aspx?ID=5AIRPNAIUNRU-1328258698-26766</Url>
      <Description>5AIRPNAIUNRU-1328258698-26766</Description>
    </_dlc_DocIdUrl>
  </documentManagement>
</p:properties>
</file>

<file path=customXml/itemProps1.xml><?xml version="1.0" encoding="utf-8"?>
<ds:datastoreItem xmlns:ds="http://schemas.openxmlformats.org/officeDocument/2006/customXml" ds:itemID="{3876289D-7D77-4A9C-A408-A4C1D7CD2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31741B-BFB9-4FC7-8380-90E9726B5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B6BD90-FB35-48EC-95FA-FCCE920F31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9B2910-D61C-4ED3-9918-63A38DAD305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653F6A-E23A-4E0F-BB09-A7693503575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64C2FBC-35E4-4877-B78B-6F1AFB4FCD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3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Nielsen (Nokia)</dc:creator>
  <cp:keywords/>
  <dc:description/>
  <cp:lastModifiedBy>qingxiang dong/Advanced Solution Research Lab /SRC-Beijing/Engineer/Samsung Electronics</cp:lastModifiedBy>
  <cp:revision>260</cp:revision>
  <dcterms:created xsi:type="dcterms:W3CDTF">2024-04-08T06:27:00Z</dcterms:created>
  <dcterms:modified xsi:type="dcterms:W3CDTF">2024-08-09T02:22:00Z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068723d0-e105-4463-b406-6ae9ef241ad2</vt:lpwstr>
  </property>
  <property fmtid="{D5CDD505-2E9C-101B-9397-08002B2CF9AE}" pid="4" name="MediaServiceImageTags">
    <vt:lpwstr/>
  </property>
</Properties>
</file>